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33" w:rsidRPr="00F47E4E" w:rsidRDefault="00BC1D33" w:rsidP="00BC1D33"/>
    <w:p w:rsidR="00BC1D33" w:rsidRDefault="00BC1D33" w:rsidP="00BC1D33"/>
    <w:p w:rsidR="00242880" w:rsidRDefault="00242880" w:rsidP="00BC1D33"/>
    <w:p w:rsidR="00242880" w:rsidRDefault="00242880" w:rsidP="00BC1D33"/>
    <w:p w:rsidR="00242880" w:rsidRDefault="00242880" w:rsidP="00BC1D33"/>
    <w:p w:rsidR="00F82F50" w:rsidRDefault="00F82F50" w:rsidP="00BC1D33"/>
    <w:p w:rsidR="00F82F50" w:rsidRDefault="00F82F50" w:rsidP="00BC1D33"/>
    <w:p w:rsidR="00F82F50" w:rsidRPr="00F47E4E" w:rsidRDefault="00F82F50" w:rsidP="00BC1D33"/>
    <w:p w:rsidR="00BC1D33" w:rsidRPr="00F47E4E" w:rsidRDefault="00BC1D33" w:rsidP="00BC1D33"/>
    <w:p w:rsidR="00BC1D33" w:rsidRPr="00F47E4E" w:rsidRDefault="00BC1D33" w:rsidP="00BC1D33"/>
    <w:p w:rsidR="00BC1D33" w:rsidRDefault="00BC1D33" w:rsidP="00BC1D33"/>
    <w:p w:rsidR="00F82F50" w:rsidRDefault="00F82F50" w:rsidP="00BC1D33"/>
    <w:p w:rsidR="00F82F50" w:rsidRDefault="00F82F50" w:rsidP="00BC1D33"/>
    <w:p w:rsidR="00F82F50" w:rsidRDefault="00F82F50" w:rsidP="00BC1D33"/>
    <w:p w:rsidR="00F82F50" w:rsidRDefault="00F82F50" w:rsidP="00BC1D33"/>
    <w:p w:rsidR="00F82F50" w:rsidRDefault="00F82F50" w:rsidP="00BC1D33"/>
    <w:p w:rsidR="00F82F50" w:rsidRPr="00F47E4E" w:rsidRDefault="00F82F50" w:rsidP="00BC1D33"/>
    <w:p w:rsidR="00BC1D33" w:rsidRPr="00F47E4E" w:rsidRDefault="00BC1D33" w:rsidP="00BC1D33"/>
    <w:p w:rsidR="00BC1D33" w:rsidRPr="00F47E4E" w:rsidRDefault="00BC1D33" w:rsidP="00BC1D33">
      <w:pPr>
        <w:jc w:val="center"/>
        <w:rPr>
          <w:b/>
        </w:rPr>
      </w:pPr>
      <w:r w:rsidRPr="00524CAE">
        <w:rPr>
          <w:b/>
        </w:rPr>
        <w:t>ELŐTERJESZTÉS</w:t>
      </w:r>
    </w:p>
    <w:p w:rsidR="00BC1D33" w:rsidRPr="00F47E4E" w:rsidRDefault="00BC1D33" w:rsidP="00BC1D33">
      <w:pPr>
        <w:tabs>
          <w:tab w:val="left" w:pos="8475"/>
        </w:tabs>
        <w:spacing w:before="120" w:after="120"/>
        <w:rPr>
          <w:b/>
        </w:rPr>
      </w:pPr>
      <w:r w:rsidRPr="00524CAE">
        <w:rPr>
          <w:b/>
        </w:rPr>
        <w:tab/>
      </w:r>
    </w:p>
    <w:p w:rsidR="00BC1D33" w:rsidRPr="00F47E4E" w:rsidRDefault="00BC1D33" w:rsidP="00BC1D33">
      <w:pPr>
        <w:jc w:val="center"/>
        <w:rPr>
          <w:b/>
        </w:rPr>
      </w:pPr>
      <w:r w:rsidRPr="00524CAE">
        <w:rPr>
          <w:b/>
        </w:rPr>
        <w:t>az idegennyelv-tudást igazoló államilag elismert nyelvvizsgáztatásról és a külföldön kiállított, idegennyelv-tudást igazoló nyelvvizsga-bizonyítványok Magyarországon történő honosításáról szóló 137/2008. (V. 16.) Korm. rendelet módosításáról</w:t>
      </w:r>
    </w:p>
    <w:p w:rsidR="00BC1D33" w:rsidRPr="00F47E4E" w:rsidRDefault="00BC1D33" w:rsidP="00BC1D33">
      <w:pPr>
        <w:jc w:val="both"/>
        <w:rPr>
          <w:b/>
        </w:rPr>
      </w:pPr>
    </w:p>
    <w:p w:rsidR="00BC1D33" w:rsidRPr="00F47E4E" w:rsidRDefault="00BC1D33" w:rsidP="00BC1D33">
      <w:pPr>
        <w:jc w:val="both"/>
        <w:rPr>
          <w:b/>
        </w:rPr>
      </w:pPr>
    </w:p>
    <w:p w:rsidR="00BC1D33" w:rsidRPr="00F47E4E" w:rsidRDefault="00BC1D33" w:rsidP="00BC1D33"/>
    <w:p w:rsidR="00BC1D33" w:rsidRDefault="00BC1D33" w:rsidP="00CC0C3E">
      <w:pPr>
        <w:spacing w:before="120" w:after="120"/>
        <w:jc w:val="both"/>
        <w:rPr>
          <w:b/>
        </w:rPr>
      </w:pPr>
    </w:p>
    <w:p w:rsidR="00E54705" w:rsidRPr="00BA1ABC" w:rsidRDefault="00E54705" w:rsidP="00CC0C3E">
      <w:pPr>
        <w:spacing w:before="120" w:after="120"/>
        <w:jc w:val="both"/>
        <w:rPr>
          <w:b/>
        </w:rPr>
        <w:sectPr w:rsidR="00E54705" w:rsidRPr="00BA1ABC" w:rsidSect="00605455">
          <w:headerReference w:type="even" r:id="rId8"/>
          <w:headerReference w:type="default" r:id="rId9"/>
          <w:footerReference w:type="even" r:id="rId10"/>
          <w:footerReference w:type="default" r:id="rId11"/>
          <w:headerReference w:type="first" r:id="rId12"/>
          <w:pgSz w:w="11906" w:h="16838" w:code="9"/>
          <w:pgMar w:top="1276" w:right="1134" w:bottom="1134" w:left="1134" w:header="567" w:footer="567" w:gutter="0"/>
          <w:cols w:space="708"/>
          <w:formProt w:val="0"/>
          <w:titlePg/>
          <w:docGrid w:linePitch="360"/>
        </w:sectPr>
      </w:pPr>
    </w:p>
    <w:p w:rsidR="00BC1D33" w:rsidRPr="00F47E4E" w:rsidRDefault="00BC1D33" w:rsidP="00BC1D33">
      <w:pPr>
        <w:keepNext/>
        <w:spacing w:before="120" w:after="480"/>
        <w:jc w:val="center"/>
        <w:rPr>
          <w:b/>
          <w:caps/>
          <w:spacing w:val="100"/>
        </w:rPr>
      </w:pPr>
      <w:r w:rsidRPr="00524CAE">
        <w:rPr>
          <w:rFonts w:hint="eastAsia"/>
          <w:b/>
          <w:caps/>
          <w:spacing w:val="100"/>
        </w:rPr>
        <w:lastRenderedPageBreak/>
        <w:t>ö</w:t>
      </w:r>
      <w:r w:rsidRPr="00524CAE">
        <w:rPr>
          <w:b/>
          <w:caps/>
          <w:spacing w:val="100"/>
        </w:rPr>
        <w:t>sszefoglal</w:t>
      </w:r>
      <w:r w:rsidRPr="00524CAE">
        <w:rPr>
          <w:rFonts w:hint="eastAsia"/>
          <w:b/>
          <w:caps/>
          <w:spacing w:val="100"/>
        </w:rPr>
        <w:t>ó</w:t>
      </w:r>
    </w:p>
    <w:p w:rsidR="00BC1D33" w:rsidRPr="00F47E4E" w:rsidRDefault="00BC1D33" w:rsidP="00BC1D33">
      <w:pPr>
        <w:autoSpaceDE w:val="0"/>
        <w:autoSpaceDN w:val="0"/>
        <w:adjustRightInd w:val="0"/>
        <w:spacing w:after="20"/>
        <w:jc w:val="both"/>
      </w:pPr>
      <w:r>
        <w:t>Jelenleg a felsőoktatásról szóló 2005. évi CXXXIX. törvény 150.§ (2) bekezdés, valamint a 153. § (1) bekezdés 6. pontja az irányadóak. A törvény felhatalmazása alapján az államilag elismert nyelvvizsgáztatás rendjének szabályairól az idegennyelv-tudást igazoló államilag elismert nyelvvizsgáztatásról és a külföldön kiállított, idegennyelv-tudást igazoló nyelvvizsga-bizonyítványok Magyarországon történő honosításáról szóló 137/2008. (V. 16.) Korm. rendelet [a továbbiakban: Rendelet] rendelkezik.</w:t>
      </w:r>
    </w:p>
    <w:p w:rsidR="003A4B7B" w:rsidRDefault="00BC1D33" w:rsidP="00BC1D33">
      <w:pPr>
        <w:keepNext/>
        <w:spacing w:before="120"/>
        <w:jc w:val="both"/>
      </w:pPr>
      <w:r>
        <w:t>A módosítási javaslat a Rendeletnek a nyelvvizsga-bizonyítvánnyal egyenértékű okiratokra v</w:t>
      </w:r>
      <w:r w:rsidR="003A4B7B">
        <w:t xml:space="preserve">onatkozó szabályait egészíti ki. </w:t>
      </w:r>
    </w:p>
    <w:p w:rsidR="00BC1D33" w:rsidRPr="00F47E4E" w:rsidRDefault="00BC1D33" w:rsidP="00BC1D33">
      <w:pPr>
        <w:keepNext/>
        <w:spacing w:before="120"/>
        <w:jc w:val="both"/>
      </w:pPr>
      <w:r>
        <w:t>Jelen kormányrendelet-módosítás a kihirdetés</w:t>
      </w:r>
      <w:r w:rsidR="00676DCE">
        <w:t xml:space="preserve">t követő napon </w:t>
      </w:r>
      <w:r>
        <w:t>lép hatályba, ugyanakkor a 2012 szeptemberében induló képzésekre vonatkozó felsőoktatási felvételi eljárásban még nem alkalmazható, tekintettel arra, hogy a folyamatban lévő felvételi eljárás szabályait érintené, mivel a felvételi jelentkezések határideje e felvételi eljárásban 2012. február 24. napja volt.</w:t>
      </w:r>
    </w:p>
    <w:p w:rsidR="004F7752" w:rsidRDefault="004F7752" w:rsidP="00BC1D33">
      <w:pPr>
        <w:tabs>
          <w:tab w:val="left" w:pos="5760"/>
        </w:tabs>
        <w:jc w:val="center"/>
      </w:pPr>
    </w:p>
    <w:p w:rsidR="00F82F50" w:rsidRDefault="00F82F50">
      <w:r>
        <w:br w:type="page"/>
      </w:r>
    </w:p>
    <w:p w:rsidR="004F7752" w:rsidRPr="00F47E4E" w:rsidRDefault="004F7752" w:rsidP="00BC1D33">
      <w:pPr>
        <w:tabs>
          <w:tab w:val="left" w:pos="5760"/>
        </w:tabs>
        <w:jc w:val="center"/>
      </w:pPr>
    </w:p>
    <w:p w:rsidR="00066E91" w:rsidRDefault="00066E91" w:rsidP="00BC1D33">
      <w:pPr>
        <w:jc w:val="right"/>
        <w:rPr>
          <w:i/>
          <w:u w:val="single"/>
        </w:rPr>
      </w:pPr>
    </w:p>
    <w:p w:rsidR="00BC1D33" w:rsidRDefault="00BC1D33" w:rsidP="00BC1D33">
      <w:pPr>
        <w:jc w:val="center"/>
        <w:rPr>
          <w:b/>
        </w:rPr>
      </w:pPr>
    </w:p>
    <w:p w:rsidR="00066E91" w:rsidRPr="005A11BD" w:rsidRDefault="00066E91" w:rsidP="00BC1D33">
      <w:pPr>
        <w:jc w:val="center"/>
        <w:rPr>
          <w:b/>
        </w:rPr>
      </w:pPr>
    </w:p>
    <w:p w:rsidR="00BC1D33" w:rsidRPr="00F47E4E" w:rsidRDefault="00BC1D33" w:rsidP="00BC1D33">
      <w:pPr>
        <w:jc w:val="center"/>
        <w:rPr>
          <w:b/>
        </w:rPr>
      </w:pPr>
      <w:r w:rsidRPr="00524CAE">
        <w:rPr>
          <w:b/>
        </w:rPr>
        <w:t>…../2012. (…) Korm. rendelet</w:t>
      </w:r>
    </w:p>
    <w:p w:rsidR="00BC1D33" w:rsidRPr="00F47E4E" w:rsidRDefault="00BC1D33" w:rsidP="00BC1D33">
      <w:pPr>
        <w:jc w:val="center"/>
        <w:rPr>
          <w:b/>
        </w:rPr>
      </w:pPr>
      <w:r w:rsidRPr="00524CAE">
        <w:rPr>
          <w:b/>
        </w:rPr>
        <w:t>az idegennyelv-tudást igazoló államilag elismert nyelvvizsgáztatásról és a külföldön kiállított, idegennyelv-tudást igazoló nyelvvizsga-bizonyítványok Magyarországon történő honosításáról szóló 137/2008. (V. 16.) Korm. rendelet módosításáról</w:t>
      </w:r>
    </w:p>
    <w:p w:rsidR="00BC1D33" w:rsidRDefault="00BC1D33" w:rsidP="00BC1D33">
      <w:pPr>
        <w:jc w:val="both"/>
      </w:pPr>
    </w:p>
    <w:p w:rsidR="00066E91" w:rsidRPr="00F47E4E" w:rsidRDefault="00066E91" w:rsidP="00BC1D33">
      <w:pPr>
        <w:jc w:val="both"/>
      </w:pPr>
    </w:p>
    <w:p w:rsidR="00BC1D33" w:rsidRPr="00F47E4E" w:rsidRDefault="00BC1D33" w:rsidP="00BC1D33">
      <w:pPr>
        <w:jc w:val="both"/>
      </w:pPr>
      <w:r w:rsidRPr="00524CAE">
        <w:t>A Kormány a felsőoktatásról szóló 2005. évi CXXXIX. törvény 153.§ (1) bekezdés 6. pontjában foglalt felhatalmazás ala</w:t>
      </w:r>
      <w:r w:rsidR="008C2F5B">
        <w:t>pján, az Alaptörvény 15. cikk (1</w:t>
      </w:r>
      <w:r w:rsidRPr="00524CAE">
        <w:t>) bekezdésében foglalt jogkörében eljárva, a következőket rendeli el:</w:t>
      </w:r>
    </w:p>
    <w:p w:rsidR="00BC1D33" w:rsidRDefault="00BC1D33" w:rsidP="00BC1D33">
      <w:pPr>
        <w:jc w:val="both"/>
      </w:pPr>
    </w:p>
    <w:p w:rsidR="004D740D" w:rsidRPr="00066E91" w:rsidRDefault="004D740D" w:rsidP="00BC1D33">
      <w:pPr>
        <w:jc w:val="both"/>
      </w:pPr>
    </w:p>
    <w:p w:rsidR="00BC1D33" w:rsidRDefault="00BC1D33" w:rsidP="00BC1D33">
      <w:pPr>
        <w:jc w:val="center"/>
        <w:rPr>
          <w:b/>
          <w:bCs/>
        </w:rPr>
      </w:pPr>
      <w:r w:rsidRPr="00524CAE">
        <w:rPr>
          <w:b/>
          <w:bCs/>
        </w:rPr>
        <w:t xml:space="preserve">1. § </w:t>
      </w:r>
    </w:p>
    <w:p w:rsidR="00066E91" w:rsidRPr="00F47E4E" w:rsidRDefault="00066E91" w:rsidP="00BC1D33">
      <w:pPr>
        <w:jc w:val="center"/>
        <w:rPr>
          <w:b/>
          <w:bCs/>
        </w:rPr>
      </w:pPr>
    </w:p>
    <w:p w:rsidR="00BC1D33" w:rsidRPr="00F47E4E" w:rsidRDefault="006D2A81" w:rsidP="00066E91">
      <w:pPr>
        <w:jc w:val="both"/>
      </w:pPr>
      <w:r>
        <w:t xml:space="preserve">(1) </w:t>
      </w:r>
      <w:r w:rsidR="00BC1D33" w:rsidRPr="00524CAE">
        <w:t xml:space="preserve">Az idegennyelv-tudást igazoló államilag elismert nyelvvizsgáztatásról és a külföldön kiállított, idegennyelv-tudást igazoló nyelvvizsga-bizonyítványok Magyarországon történő honosításáról szóló 137/2008. (V. 16.) Korm. rendelet </w:t>
      </w:r>
      <w:r>
        <w:t xml:space="preserve">(a továbbiakban: Rendelet) </w:t>
      </w:r>
      <w:r w:rsidR="00BC1D33" w:rsidRPr="00524CAE">
        <w:t>14. § (1) bekezdése helyébe a következő rendelkezés lép:</w:t>
      </w:r>
    </w:p>
    <w:p w:rsidR="00BC1D33" w:rsidRPr="00066E91" w:rsidRDefault="00BC1D33" w:rsidP="00BC1D33">
      <w:pPr>
        <w:pStyle w:val="Cmsor7"/>
        <w:spacing w:before="0" w:after="0"/>
        <w:jc w:val="both"/>
        <w:rPr>
          <w:rFonts w:eastAsiaTheme="minorHAnsi"/>
          <w:b/>
          <w:bCs/>
          <w:lang w:eastAsia="en-US"/>
        </w:rPr>
      </w:pPr>
    </w:p>
    <w:p w:rsidR="00BC1D33" w:rsidRPr="006A02A4" w:rsidRDefault="006D2A81" w:rsidP="006A02A4">
      <w:pPr>
        <w:jc w:val="both"/>
      </w:pPr>
      <w:r w:rsidRPr="006A02A4">
        <w:rPr>
          <w:rFonts w:eastAsiaTheme="minorHAnsi"/>
          <w:bCs/>
          <w:lang w:eastAsia="en-US"/>
        </w:rPr>
        <w:t>„</w:t>
      </w:r>
      <w:r w:rsidR="00BC1D33" w:rsidRPr="006A02A4">
        <w:rPr>
          <w:rFonts w:eastAsiaTheme="minorHAnsi"/>
          <w:lang w:eastAsia="en-US"/>
        </w:rPr>
        <w:t>(1) Az idegen nyelven folytatott és befejezett tanulmányokat igazoló, államilag elismert, külföldi közoktatási intézményben szerzett</w:t>
      </w:r>
      <w:r w:rsidR="006A02A4">
        <w:rPr>
          <w:rFonts w:eastAsiaTheme="minorHAnsi"/>
          <w:lang w:eastAsia="en-US"/>
        </w:rPr>
        <w:t xml:space="preserve"> érettségi bizonyítvány, az</w:t>
      </w:r>
      <w:r w:rsidR="00BC1D33" w:rsidRPr="006A02A4">
        <w:rPr>
          <w:rFonts w:eastAsiaTheme="minorHAnsi"/>
          <w:lang w:eastAsia="en-US"/>
        </w:rPr>
        <w:t xml:space="preserve"> államilag elismert, külföldi felsőoktatási</w:t>
      </w:r>
      <w:r w:rsidR="006A02A4" w:rsidRPr="006A02A4">
        <w:rPr>
          <w:rFonts w:eastAsiaTheme="minorHAnsi"/>
          <w:lang w:eastAsia="en-US"/>
        </w:rPr>
        <w:t xml:space="preserve"> intézményben szerzett oklevél, valamint a </w:t>
      </w:r>
      <w:r w:rsidR="006A02A4" w:rsidRPr="006A02A4">
        <w:t xml:space="preserve">tudományos fokozat odaítélésére kijelölt hatóság által kiállított és hazai felsőoktatási intézmény vagy a Magyar Tudományos Akadémia által honosított okirat </w:t>
      </w:r>
      <w:r w:rsidR="00BC1D33" w:rsidRPr="006A02A4">
        <w:rPr>
          <w:rFonts w:eastAsiaTheme="minorHAnsi"/>
          <w:lang w:eastAsia="en-US"/>
        </w:rPr>
        <w:t>az oktatás nyelve szempontjából, államilag elismert általános, egynyelvű, komplex típusú felsőfokú nyelvvizsgának felel meg. A magyar nyelven folytatott és befejezett tanulmányokat igazoló, államilag elismert, külföldi közoktatási intézményben szerzett érettségi bizonyítvány az adott külföldi állam hivatalos nyelve szempontjából államilag elismert általános, egynyelvű, komplex típusú középfokú nyelvvizsgának felel meg. A külföldi oklevél az elismert vagy honosított szakképzettség alapján, illetve az a külföldi bizonyítvány, amely olyan szakképesítést tanúsít, amely</w:t>
      </w:r>
      <w:r w:rsidR="00A21EDC" w:rsidRPr="006A02A4">
        <w:rPr>
          <w:rFonts w:eastAsiaTheme="minorHAnsi"/>
          <w:lang w:eastAsia="en-US"/>
        </w:rPr>
        <w:t>et</w:t>
      </w:r>
      <w:r w:rsidR="00BC1D33" w:rsidRPr="006A02A4">
        <w:rPr>
          <w:rFonts w:eastAsiaTheme="minorHAnsi"/>
          <w:lang w:eastAsia="en-US"/>
        </w:rPr>
        <w:t xml:space="preserve"> Magyarországon megszerezhető, érettségi vizsgához kötött szakképesítésként ismertek el, államilag elismert szaknyelvi, egynyelvű, komplex típusú felsőfokú nyelvvizsgának felel meg.”</w:t>
      </w:r>
    </w:p>
    <w:p w:rsidR="00BC1D33" w:rsidRDefault="00BC1D33" w:rsidP="00BC1D33">
      <w:pPr>
        <w:pStyle w:val="Cmsor7"/>
        <w:spacing w:before="0" w:after="0"/>
        <w:jc w:val="both"/>
        <w:rPr>
          <w:u w:val="single"/>
        </w:rPr>
      </w:pPr>
    </w:p>
    <w:p w:rsidR="004D740D" w:rsidRPr="00066E91" w:rsidRDefault="004D740D" w:rsidP="00BC1D33">
      <w:pPr>
        <w:pStyle w:val="Cmsor7"/>
        <w:spacing w:before="0" w:after="0"/>
        <w:jc w:val="both"/>
        <w:rPr>
          <w:u w:val="single"/>
        </w:rPr>
      </w:pPr>
    </w:p>
    <w:p w:rsidR="00066E91" w:rsidRDefault="006D2A81" w:rsidP="006D2A81">
      <w:r w:rsidRPr="006D2A81">
        <w:t>(2) A Rendelet</w:t>
      </w:r>
      <w:r>
        <w:rPr>
          <w:b/>
        </w:rPr>
        <w:t xml:space="preserve"> </w:t>
      </w:r>
      <w:r w:rsidRPr="00524CAE">
        <w:t>14. § (</w:t>
      </w:r>
      <w:r>
        <w:t>5</w:t>
      </w:r>
      <w:r w:rsidRPr="00524CAE">
        <w:t>) bekezdése helyébe a következő rendelkezés lép:</w:t>
      </w:r>
    </w:p>
    <w:p w:rsidR="005A11BD" w:rsidRPr="00066E91" w:rsidRDefault="005A11BD" w:rsidP="005A11BD">
      <w:pPr>
        <w:jc w:val="both"/>
      </w:pPr>
    </w:p>
    <w:p w:rsidR="005A11BD" w:rsidRPr="005A11BD" w:rsidRDefault="006D2A81" w:rsidP="005A11BD">
      <w:pPr>
        <w:jc w:val="both"/>
      </w:pPr>
      <w:r>
        <w:rPr>
          <w:rFonts w:eastAsiaTheme="minorHAnsi"/>
          <w:bCs/>
          <w:lang w:eastAsia="en-US"/>
        </w:rPr>
        <w:t>„</w:t>
      </w:r>
      <w:r w:rsidR="005A11BD" w:rsidRPr="005A11BD">
        <w:t>(5) Nem magyar állampolgárok esetében, magyar</w:t>
      </w:r>
      <w:r w:rsidR="005A11BD">
        <w:t>országi</w:t>
      </w:r>
      <w:r w:rsidR="005A11BD" w:rsidRPr="005A11BD">
        <w:t xml:space="preserve"> közoktatási, illetve felsőoktatási intézményben, magyar nyelven folytatott és befejezett tanulmányokat igazoló érettségi bizonyítvány, illetve oklevél, államilag elismert magyar, mint idegen nyelv egynyelvű, komplex típusú felsőfokú nyelvvizsgának felel meg.”</w:t>
      </w:r>
    </w:p>
    <w:p w:rsidR="00066E91" w:rsidRDefault="00066E91" w:rsidP="00BC1D33">
      <w:pPr>
        <w:jc w:val="center"/>
        <w:rPr>
          <w:b/>
          <w:bCs/>
        </w:rPr>
      </w:pPr>
    </w:p>
    <w:p w:rsidR="00066E91" w:rsidRDefault="00066E91" w:rsidP="00BC1D33">
      <w:pPr>
        <w:jc w:val="center"/>
        <w:rPr>
          <w:b/>
          <w:bCs/>
        </w:rPr>
      </w:pPr>
    </w:p>
    <w:p w:rsidR="00BC1D33" w:rsidRDefault="006D2A81" w:rsidP="00BC1D33">
      <w:pPr>
        <w:jc w:val="center"/>
        <w:rPr>
          <w:b/>
          <w:bCs/>
        </w:rPr>
      </w:pPr>
      <w:r>
        <w:rPr>
          <w:b/>
          <w:bCs/>
        </w:rPr>
        <w:t>2</w:t>
      </w:r>
      <w:r w:rsidR="00066E91">
        <w:rPr>
          <w:b/>
          <w:bCs/>
        </w:rPr>
        <w:t>. §</w:t>
      </w:r>
    </w:p>
    <w:p w:rsidR="00066E91" w:rsidRDefault="00066E91" w:rsidP="00BC1D33">
      <w:pPr>
        <w:jc w:val="center"/>
        <w:rPr>
          <w:b/>
          <w:bCs/>
        </w:rPr>
      </w:pPr>
    </w:p>
    <w:p w:rsidR="006D2A81" w:rsidRDefault="006D2A81" w:rsidP="006D2A81">
      <w:pPr>
        <w:jc w:val="both"/>
        <w:rPr>
          <w:bCs/>
        </w:rPr>
      </w:pPr>
      <w:r w:rsidRPr="006D2A81">
        <w:rPr>
          <w:bCs/>
        </w:rPr>
        <w:t xml:space="preserve">A </w:t>
      </w:r>
      <w:r>
        <w:rPr>
          <w:bCs/>
        </w:rPr>
        <w:t xml:space="preserve">Rendelet 15. §-a a következő (8) bekezdéssel egészül ki: </w:t>
      </w:r>
    </w:p>
    <w:p w:rsidR="006D2A81" w:rsidRDefault="006D2A81" w:rsidP="006D2A81">
      <w:pPr>
        <w:jc w:val="both"/>
        <w:rPr>
          <w:bCs/>
        </w:rPr>
      </w:pPr>
    </w:p>
    <w:p w:rsidR="00BC1D33" w:rsidRPr="00F47E4E" w:rsidRDefault="006D2A81" w:rsidP="00066E91">
      <w:pPr>
        <w:jc w:val="both"/>
      </w:pPr>
      <w:r w:rsidRPr="006D2A81">
        <w:rPr>
          <w:bCs/>
        </w:rPr>
        <w:t xml:space="preserve">„(8) E rendeletnek </w:t>
      </w:r>
      <w:r w:rsidRPr="006D2A81">
        <w:t>az idegennyelv-tudást igazoló államilag elismert nyelvvizsgáztatásról és a külföldön kiállított, idegennyelv-tudást igazoló nyelvvizsga-bizonyítványok Magyarországon történő honosításáról szóló 137/2008. (V. 16.) Korm. rendelet módosításáról</w:t>
      </w:r>
      <w:r>
        <w:t xml:space="preserve"> szóló …../2012. (…) Korm. rendelet 1. § (1) bekezdésével módosított 14. § (1) bekezdését </w:t>
      </w:r>
      <w:r w:rsidR="00BC1D33" w:rsidRPr="00524CAE">
        <w:t>a felsőoktatási felvételi eljárás tekintetében első alkalommal a 2013. évi keresztféléves eljárásban kell alkalmazni.</w:t>
      </w:r>
      <w:r>
        <w:t>”</w:t>
      </w:r>
    </w:p>
    <w:p w:rsidR="00BC1D33" w:rsidRDefault="00BC1D33" w:rsidP="00BC1D33">
      <w:pPr>
        <w:jc w:val="both"/>
      </w:pPr>
    </w:p>
    <w:p w:rsidR="00066E91" w:rsidRPr="006D2A81" w:rsidRDefault="006D2A81" w:rsidP="006D2A81">
      <w:pPr>
        <w:jc w:val="center"/>
        <w:rPr>
          <w:b/>
        </w:rPr>
      </w:pPr>
      <w:r w:rsidRPr="006D2A81">
        <w:rPr>
          <w:b/>
        </w:rPr>
        <w:t xml:space="preserve">3. § </w:t>
      </w:r>
    </w:p>
    <w:p w:rsidR="006D2A81" w:rsidRDefault="006D2A81" w:rsidP="00BC1D33">
      <w:pPr>
        <w:jc w:val="both"/>
      </w:pPr>
    </w:p>
    <w:p w:rsidR="006D2A81" w:rsidRDefault="006D2A81" w:rsidP="00BC1D33">
      <w:pPr>
        <w:jc w:val="both"/>
      </w:pPr>
    </w:p>
    <w:p w:rsidR="006D2A81" w:rsidRDefault="006D2A81" w:rsidP="006D2A81">
      <w:pPr>
        <w:pStyle w:val="Listaszerbekezds"/>
        <w:numPr>
          <w:ilvl w:val="0"/>
          <w:numId w:val="7"/>
        </w:numPr>
        <w:jc w:val="both"/>
        <w:rPr>
          <w:rFonts w:ascii="Times New Roman" w:hAnsi="Times New Roman" w:cs="Times New Roman"/>
          <w:sz w:val="24"/>
          <w:szCs w:val="24"/>
        </w:rPr>
      </w:pPr>
      <w:r w:rsidRPr="006D2A81">
        <w:rPr>
          <w:rFonts w:ascii="Times New Roman" w:hAnsi="Times New Roman" w:cs="Times New Roman"/>
          <w:sz w:val="24"/>
          <w:szCs w:val="24"/>
        </w:rPr>
        <w:t>E rendelet a kihirdetését követő napon lép hatályba.</w:t>
      </w:r>
    </w:p>
    <w:p w:rsidR="004E2283" w:rsidRDefault="004E2283" w:rsidP="004E2283">
      <w:pPr>
        <w:pStyle w:val="Listaszerbekezds"/>
        <w:jc w:val="both"/>
        <w:rPr>
          <w:rFonts w:ascii="Times New Roman" w:hAnsi="Times New Roman" w:cs="Times New Roman"/>
          <w:sz w:val="24"/>
          <w:szCs w:val="24"/>
        </w:rPr>
      </w:pPr>
    </w:p>
    <w:p w:rsidR="006D2A81" w:rsidRPr="006D2A81" w:rsidRDefault="006D2A81" w:rsidP="006D2A81">
      <w:pPr>
        <w:pStyle w:val="Listaszerbekezds"/>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E rendelet a hatálybalépését követő napon hatályát veszti. </w:t>
      </w:r>
    </w:p>
    <w:p w:rsidR="006D2A81" w:rsidRPr="00F47E4E" w:rsidRDefault="006D2A81" w:rsidP="00BC1D33">
      <w:pPr>
        <w:jc w:val="both"/>
      </w:pPr>
    </w:p>
    <w:p w:rsidR="00BC1D33" w:rsidRDefault="00BC1D33" w:rsidP="00BC1D33">
      <w:pPr>
        <w:jc w:val="both"/>
      </w:pPr>
      <w:r w:rsidRPr="00524CAE">
        <w:t xml:space="preserve">Budapest, 2012. </w:t>
      </w:r>
    </w:p>
    <w:p w:rsidR="00066E91" w:rsidRPr="00F47E4E" w:rsidRDefault="00066E91" w:rsidP="004D740D">
      <w:pPr>
        <w:jc w:val="both"/>
      </w:pPr>
    </w:p>
    <w:p w:rsidR="00BC1D33" w:rsidRPr="00F47E4E" w:rsidRDefault="00BC1D33" w:rsidP="004D740D">
      <w:pPr>
        <w:jc w:val="both"/>
      </w:pPr>
    </w:p>
    <w:p w:rsidR="00BC1D33" w:rsidRPr="00F47E4E" w:rsidRDefault="00BC1D33" w:rsidP="00BC1D33">
      <w:pPr>
        <w:ind w:left="7230"/>
        <w:jc w:val="both"/>
      </w:pPr>
      <w:r w:rsidRPr="00524CAE">
        <w:t>Orbán Viktor</w:t>
      </w:r>
    </w:p>
    <w:p w:rsidR="00BC1D33" w:rsidRDefault="00BC1D33" w:rsidP="00BC1D33">
      <w:pPr>
        <w:ind w:left="7167"/>
        <w:jc w:val="both"/>
      </w:pPr>
      <w:r w:rsidRPr="00524CAE">
        <w:t>miniszterelnö</w:t>
      </w:r>
      <w:r w:rsidR="00E40377">
        <w:t>k</w:t>
      </w:r>
    </w:p>
    <w:p w:rsidR="00E40377" w:rsidRDefault="00E40377" w:rsidP="00BC1D33">
      <w:pPr>
        <w:ind w:left="7167"/>
        <w:jc w:val="both"/>
      </w:pPr>
    </w:p>
    <w:p w:rsidR="00E40377" w:rsidRDefault="00E40377" w:rsidP="00BC1D33">
      <w:pPr>
        <w:ind w:left="7167"/>
        <w:jc w:val="both"/>
      </w:pPr>
    </w:p>
    <w:p w:rsidR="00BC1D33" w:rsidRDefault="00BC1D33" w:rsidP="00E40377">
      <w:pPr>
        <w:tabs>
          <w:tab w:val="left" w:pos="900"/>
        </w:tabs>
      </w:pPr>
    </w:p>
    <w:sectPr w:rsidR="00BC1D33" w:rsidSect="00066E91">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001" w:rsidRDefault="006F2001">
      <w:r>
        <w:separator/>
      </w:r>
    </w:p>
  </w:endnote>
  <w:endnote w:type="continuationSeparator" w:id="0">
    <w:p w:rsidR="006F2001" w:rsidRDefault="006F2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DE" w:rsidRDefault="00CE7416" w:rsidP="002668DE">
    <w:pPr>
      <w:pStyle w:val="llb"/>
      <w:framePr w:wrap="around" w:vAnchor="text" w:hAnchor="margin" w:xAlign="center" w:y="1"/>
      <w:rPr>
        <w:rStyle w:val="Oldalszm"/>
      </w:rPr>
    </w:pPr>
    <w:r>
      <w:rPr>
        <w:rStyle w:val="Oldalszm"/>
      </w:rPr>
      <w:fldChar w:fldCharType="begin"/>
    </w:r>
    <w:r w:rsidR="002668DE">
      <w:rPr>
        <w:rStyle w:val="Oldalszm"/>
      </w:rPr>
      <w:instrText xml:space="preserve">PAGE  </w:instrText>
    </w:r>
    <w:r>
      <w:rPr>
        <w:rStyle w:val="Oldalszm"/>
      </w:rPr>
      <w:fldChar w:fldCharType="end"/>
    </w:r>
  </w:p>
  <w:p w:rsidR="002668DE" w:rsidRDefault="002668DE">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DE" w:rsidRDefault="00CE7416" w:rsidP="00246E34">
    <w:pPr>
      <w:pStyle w:val="llb"/>
      <w:framePr w:wrap="around" w:vAnchor="text" w:hAnchor="margin" w:xAlign="center" w:y="1"/>
      <w:tabs>
        <w:tab w:val="clear" w:pos="4536"/>
      </w:tabs>
      <w:jc w:val="center"/>
      <w:rPr>
        <w:rStyle w:val="Oldalszm"/>
      </w:rPr>
    </w:pPr>
    <w:r>
      <w:rPr>
        <w:rStyle w:val="Oldalszm"/>
      </w:rPr>
      <w:fldChar w:fldCharType="begin"/>
    </w:r>
    <w:r w:rsidR="002668DE">
      <w:rPr>
        <w:rStyle w:val="Oldalszm"/>
      </w:rPr>
      <w:instrText xml:space="preserve">PAGE  </w:instrText>
    </w:r>
    <w:r>
      <w:rPr>
        <w:rStyle w:val="Oldalszm"/>
      </w:rPr>
      <w:fldChar w:fldCharType="separate"/>
    </w:r>
    <w:r w:rsidR="00F31DBF">
      <w:rPr>
        <w:rStyle w:val="Oldalszm"/>
        <w:noProof/>
      </w:rPr>
      <w:t>2</w:t>
    </w:r>
    <w:r>
      <w:rPr>
        <w:rStyle w:val="Oldalszm"/>
      </w:rPr>
      <w:fldChar w:fldCharType="end"/>
    </w:r>
  </w:p>
  <w:p w:rsidR="002668DE" w:rsidRDefault="002668DE" w:rsidP="00A27183">
    <w:pPr>
      <w:pStyle w:val="llb"/>
      <w:framePr w:wrap="around" w:vAnchor="text" w:hAnchor="margin" w:xAlign="center" w:y="1"/>
      <w:rPr>
        <w:rStyle w:val="Oldalszm"/>
      </w:rPr>
    </w:pPr>
  </w:p>
  <w:p w:rsidR="002668DE" w:rsidRDefault="002668DE" w:rsidP="0013602E">
    <w:pPr>
      <w:pStyle w:val="llb"/>
      <w:jc w:val="center"/>
    </w:pPr>
  </w:p>
  <w:p w:rsidR="002668DE" w:rsidRDefault="002668DE" w:rsidP="00A27183">
    <w:pPr>
      <w:pStyle w:val="ll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095"/>
      <w:gridCol w:w="3095"/>
      <w:gridCol w:w="3096"/>
    </w:tblGrid>
    <w:tr w:rsidR="00BC1D33" w:rsidRPr="008B79AF" w:rsidTr="008B79AF">
      <w:tc>
        <w:tcPr>
          <w:tcW w:w="3259" w:type="dxa"/>
        </w:tcPr>
        <w:p w:rsidR="00BC1D33" w:rsidRPr="008B79AF" w:rsidRDefault="00BC1D33" w:rsidP="008B79AF">
          <w:pPr>
            <w:pStyle w:val="llb"/>
            <w:jc w:val="center"/>
            <w:rPr>
              <w:sz w:val="20"/>
            </w:rPr>
          </w:pPr>
        </w:p>
      </w:tc>
      <w:tc>
        <w:tcPr>
          <w:tcW w:w="3259" w:type="dxa"/>
        </w:tcPr>
        <w:p w:rsidR="00BC1D33" w:rsidRPr="008B79AF" w:rsidRDefault="00BC1D33" w:rsidP="008B79AF">
          <w:pPr>
            <w:pStyle w:val="llb"/>
            <w:jc w:val="center"/>
            <w:rPr>
              <w:sz w:val="20"/>
            </w:rPr>
          </w:pPr>
        </w:p>
      </w:tc>
      <w:tc>
        <w:tcPr>
          <w:tcW w:w="3260" w:type="dxa"/>
        </w:tcPr>
        <w:p w:rsidR="00BC1D33" w:rsidRPr="008B79AF" w:rsidRDefault="00BC1D33" w:rsidP="008B79AF">
          <w:pPr>
            <w:pStyle w:val="llb"/>
            <w:jc w:val="center"/>
            <w:rPr>
              <w:sz w:val="20"/>
            </w:rPr>
          </w:pPr>
        </w:p>
      </w:tc>
    </w:tr>
    <w:tr w:rsidR="00BC1D33" w:rsidRPr="008B79AF" w:rsidTr="008B79AF">
      <w:tc>
        <w:tcPr>
          <w:tcW w:w="3259" w:type="dxa"/>
          <w:vAlign w:val="center"/>
        </w:tcPr>
        <w:p w:rsidR="00BC1D33" w:rsidRPr="008B79AF" w:rsidRDefault="00BC1D33" w:rsidP="008B79AF">
          <w:pPr>
            <w:pStyle w:val="llb"/>
            <w:jc w:val="center"/>
            <w:rPr>
              <w:sz w:val="20"/>
            </w:rPr>
          </w:pPr>
        </w:p>
      </w:tc>
      <w:tc>
        <w:tcPr>
          <w:tcW w:w="3259" w:type="dxa"/>
          <w:vAlign w:val="center"/>
        </w:tcPr>
        <w:p w:rsidR="00BC1D33" w:rsidRPr="008B79AF" w:rsidRDefault="00BC1D33" w:rsidP="008B79AF">
          <w:pPr>
            <w:pStyle w:val="llb"/>
            <w:jc w:val="center"/>
            <w:rPr>
              <w:sz w:val="20"/>
            </w:rPr>
          </w:pPr>
        </w:p>
      </w:tc>
      <w:tc>
        <w:tcPr>
          <w:tcW w:w="3260" w:type="dxa"/>
          <w:vAlign w:val="center"/>
        </w:tcPr>
        <w:p w:rsidR="00BC1D33" w:rsidRPr="008B79AF" w:rsidRDefault="00BC1D33" w:rsidP="008B79AF">
          <w:pPr>
            <w:pStyle w:val="llb"/>
            <w:jc w:val="center"/>
            <w:rPr>
              <w:sz w:val="20"/>
            </w:rPr>
          </w:pPr>
        </w:p>
      </w:tc>
    </w:tr>
  </w:tbl>
  <w:p w:rsidR="00BC1D33" w:rsidRDefault="00BC1D3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001" w:rsidRDefault="006F2001">
      <w:r>
        <w:separator/>
      </w:r>
    </w:p>
  </w:footnote>
  <w:footnote w:type="continuationSeparator" w:id="0">
    <w:p w:rsidR="006F2001" w:rsidRDefault="006F2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DE" w:rsidRDefault="00CE7416" w:rsidP="00605455">
    <w:pPr>
      <w:pStyle w:val="lfej"/>
      <w:framePr w:wrap="around" w:vAnchor="text" w:hAnchor="margin" w:xAlign="center" w:y="1"/>
      <w:rPr>
        <w:rStyle w:val="Oldalszm"/>
      </w:rPr>
    </w:pPr>
    <w:r>
      <w:rPr>
        <w:rStyle w:val="Oldalszm"/>
      </w:rPr>
      <w:fldChar w:fldCharType="begin"/>
    </w:r>
    <w:r w:rsidR="002668DE">
      <w:rPr>
        <w:rStyle w:val="Oldalszm"/>
      </w:rPr>
      <w:instrText xml:space="preserve">PAGE  </w:instrText>
    </w:r>
    <w:r>
      <w:rPr>
        <w:rStyle w:val="Oldalszm"/>
      </w:rPr>
      <w:fldChar w:fldCharType="end"/>
    </w:r>
  </w:p>
  <w:p w:rsidR="002668DE" w:rsidRDefault="002668DE">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DE" w:rsidRDefault="002668DE" w:rsidP="00605455">
    <w:pPr>
      <w:pStyle w:val="lfej"/>
      <w:framePr w:wrap="around" w:vAnchor="text" w:hAnchor="margin" w:xAlign="center" w:y="1"/>
      <w:jc w:val="center"/>
      <w:rPr>
        <w:rStyle w:val="Oldalszm"/>
      </w:rPr>
    </w:pPr>
  </w:p>
  <w:p w:rsidR="002668DE" w:rsidRDefault="002668DE" w:rsidP="00605455">
    <w:pPr>
      <w:pStyle w:val="lfej"/>
      <w:framePr w:wrap="around" w:vAnchor="text" w:hAnchor="margin" w:xAlign="center" w:y="1"/>
      <w:rPr>
        <w:rStyle w:val="Oldalszm"/>
      </w:rPr>
    </w:pPr>
  </w:p>
  <w:p w:rsidR="002668DE" w:rsidRDefault="002668DE" w:rsidP="00A27183">
    <w:pPr>
      <w:pStyle w:val="lfej"/>
      <w:jc w:val="center"/>
      <w:rPr>
        <w:sz w:val="20"/>
      </w:rPr>
    </w:pPr>
    <w:r w:rsidRPr="0011517C">
      <w:rPr>
        <w:sz w:val="20"/>
      </w:rPr>
      <w:t>Az előterjesztést a Kormány nem tárgyalta meg, ezért az nem tekinthető a Kormány álláspontjának.</w:t>
    </w:r>
  </w:p>
  <w:p w:rsidR="002668DE" w:rsidRPr="00A906C3" w:rsidRDefault="002668DE" w:rsidP="00A27183">
    <w:pPr>
      <w:pStyle w:val="lfej"/>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33" w:rsidRDefault="00BC1D33" w:rsidP="00BC1D33">
    <w:pPr>
      <w:pStyle w:val="lfej"/>
      <w:jc w:val="center"/>
      <w:rPr>
        <w:sz w:val="20"/>
      </w:rPr>
    </w:pPr>
    <w:r w:rsidRPr="0011517C">
      <w:rPr>
        <w:sz w:val="20"/>
      </w:rPr>
      <w:t>Az előterjesztést a Kormány nem tárgyalta meg, ezért az nem tekinthető a Kormány álláspontjának.</w:t>
    </w:r>
  </w:p>
  <w:p w:rsidR="00BC1D33" w:rsidRDefault="00BC1D33" w:rsidP="00BC1D33">
    <w:pPr>
      <w:pStyle w:val="lfej"/>
      <w:jc w:val="center"/>
      <w:rPr>
        <w:sz w:val="20"/>
      </w:rPr>
    </w:pPr>
  </w:p>
  <w:p w:rsidR="00BC1D33" w:rsidRPr="00A906C3" w:rsidRDefault="00CE7416" w:rsidP="00BC1D33">
    <w:pPr>
      <w:pStyle w:val="lfej"/>
      <w:jc w:val="center"/>
      <w:rPr>
        <w:sz w:val="20"/>
        <w:szCs w:val="20"/>
      </w:rPr>
    </w:pPr>
    <w:r w:rsidRPr="00A906C3">
      <w:rPr>
        <w:rStyle w:val="Oldalszm"/>
        <w:sz w:val="20"/>
        <w:szCs w:val="20"/>
      </w:rPr>
      <w:fldChar w:fldCharType="begin"/>
    </w:r>
    <w:r w:rsidR="00BC1D33" w:rsidRPr="00A906C3">
      <w:rPr>
        <w:rStyle w:val="Oldalszm"/>
        <w:sz w:val="20"/>
        <w:szCs w:val="20"/>
      </w:rPr>
      <w:instrText xml:space="preserve"> PAGE </w:instrText>
    </w:r>
    <w:r w:rsidRPr="00A906C3">
      <w:rPr>
        <w:rStyle w:val="Oldalszm"/>
        <w:sz w:val="20"/>
        <w:szCs w:val="20"/>
      </w:rPr>
      <w:fldChar w:fldCharType="separate"/>
    </w:r>
    <w:r w:rsidR="000C7E4A">
      <w:rPr>
        <w:rStyle w:val="Oldalszm"/>
        <w:noProof/>
        <w:sz w:val="20"/>
        <w:szCs w:val="20"/>
      </w:rPr>
      <w:t>1</w:t>
    </w:r>
    <w:r w:rsidRPr="00A906C3">
      <w:rPr>
        <w:rStyle w:val="Oldalszm"/>
        <w:sz w:val="20"/>
        <w:szCs w:val="20"/>
      </w:rPr>
      <w:fldChar w:fldCharType="end"/>
    </w:r>
  </w:p>
  <w:p w:rsidR="00BC1D33" w:rsidRDefault="00BC1D33">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33" w:rsidRDefault="00BC1D33" w:rsidP="00BC1D33">
    <w:pPr>
      <w:pStyle w:val="lfej"/>
      <w:jc w:val="center"/>
      <w:rPr>
        <w:sz w:val="20"/>
      </w:rPr>
    </w:pPr>
    <w:r w:rsidRPr="0011517C">
      <w:rPr>
        <w:sz w:val="20"/>
      </w:rPr>
      <w:t>Az előterjesztést a Kormány nem tárgyalta meg, ezért az nem tekinthető a Kormány álláspontjának.</w:t>
    </w:r>
  </w:p>
  <w:p w:rsidR="00BC1D33" w:rsidRDefault="00BC1D33" w:rsidP="00BC1D33">
    <w:pPr>
      <w:pStyle w:val="lfej"/>
      <w:jc w:val="center"/>
      <w:rPr>
        <w:sz w:val="20"/>
      </w:rPr>
    </w:pPr>
  </w:p>
  <w:p w:rsidR="00BC1D33" w:rsidRPr="00A906C3" w:rsidRDefault="00CE7416" w:rsidP="00BC1D33">
    <w:pPr>
      <w:pStyle w:val="lfej"/>
      <w:jc w:val="center"/>
      <w:rPr>
        <w:sz w:val="20"/>
        <w:szCs w:val="20"/>
      </w:rPr>
    </w:pPr>
    <w:r w:rsidRPr="00A906C3">
      <w:rPr>
        <w:rStyle w:val="Oldalszm"/>
        <w:sz w:val="20"/>
        <w:szCs w:val="20"/>
      </w:rPr>
      <w:fldChar w:fldCharType="begin"/>
    </w:r>
    <w:r w:rsidR="00BC1D33" w:rsidRPr="00A906C3">
      <w:rPr>
        <w:rStyle w:val="Oldalszm"/>
        <w:sz w:val="20"/>
        <w:szCs w:val="20"/>
      </w:rPr>
      <w:instrText xml:space="preserve"> PAGE </w:instrText>
    </w:r>
    <w:r w:rsidRPr="00A906C3">
      <w:rPr>
        <w:rStyle w:val="Oldalszm"/>
        <w:sz w:val="20"/>
        <w:szCs w:val="20"/>
      </w:rPr>
      <w:fldChar w:fldCharType="separate"/>
    </w:r>
    <w:r w:rsidR="000C7E4A">
      <w:rPr>
        <w:rStyle w:val="Oldalszm"/>
        <w:noProof/>
        <w:sz w:val="20"/>
        <w:szCs w:val="20"/>
      </w:rPr>
      <w:t>4</w:t>
    </w:r>
    <w:r w:rsidRPr="00A906C3">
      <w:rPr>
        <w:rStyle w:val="Oldalszm"/>
        <w:sz w:val="20"/>
        <w:szCs w:val="20"/>
      </w:rPr>
      <w:fldChar w:fldCharType="end"/>
    </w:r>
  </w:p>
  <w:p w:rsidR="00BC1D33" w:rsidRPr="00A906C3" w:rsidRDefault="00BC1D33" w:rsidP="00A906C3">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E23"/>
    <w:multiLevelType w:val="hybridMultilevel"/>
    <w:tmpl w:val="9B42C79C"/>
    <w:lvl w:ilvl="0" w:tplc="8A50BD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07F5EF7"/>
    <w:multiLevelType w:val="hybridMultilevel"/>
    <w:tmpl w:val="C3146D8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208B3822"/>
    <w:multiLevelType w:val="hybridMultilevel"/>
    <w:tmpl w:val="83A266DC"/>
    <w:lvl w:ilvl="0" w:tplc="6D86064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A612151"/>
    <w:multiLevelType w:val="hybridMultilevel"/>
    <w:tmpl w:val="564ABD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0105FB8"/>
    <w:multiLevelType w:val="hybridMultilevel"/>
    <w:tmpl w:val="C31CBB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2AD251C"/>
    <w:multiLevelType w:val="hybridMultilevel"/>
    <w:tmpl w:val="CE8A2AD6"/>
    <w:lvl w:ilvl="0" w:tplc="3160B7FA">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76D233D8"/>
    <w:multiLevelType w:val="hybridMultilevel"/>
    <w:tmpl w:val="61FA0F52"/>
    <w:lvl w:ilvl="0" w:tplc="3160B7FA">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612BA"/>
    <w:rsid w:val="00000423"/>
    <w:rsid w:val="000008F8"/>
    <w:rsid w:val="000063E8"/>
    <w:rsid w:val="00006EFC"/>
    <w:rsid w:val="00007066"/>
    <w:rsid w:val="00041DE7"/>
    <w:rsid w:val="00042D5E"/>
    <w:rsid w:val="00066E91"/>
    <w:rsid w:val="00076531"/>
    <w:rsid w:val="0008299A"/>
    <w:rsid w:val="00090097"/>
    <w:rsid w:val="000C4360"/>
    <w:rsid w:val="000C7E4A"/>
    <w:rsid w:val="000D14B4"/>
    <w:rsid w:val="000D7DB4"/>
    <w:rsid w:val="000E1147"/>
    <w:rsid w:val="000E5F14"/>
    <w:rsid w:val="000F65C0"/>
    <w:rsid w:val="00120E82"/>
    <w:rsid w:val="0013602E"/>
    <w:rsid w:val="00146488"/>
    <w:rsid w:val="001609AD"/>
    <w:rsid w:val="00161894"/>
    <w:rsid w:val="00170F1D"/>
    <w:rsid w:val="00176247"/>
    <w:rsid w:val="00176433"/>
    <w:rsid w:val="00191C19"/>
    <w:rsid w:val="00194442"/>
    <w:rsid w:val="001A0983"/>
    <w:rsid w:val="001C2E95"/>
    <w:rsid w:val="001C4C42"/>
    <w:rsid w:val="001C6DEE"/>
    <w:rsid w:val="001E1091"/>
    <w:rsid w:val="00200EAE"/>
    <w:rsid w:val="00214B81"/>
    <w:rsid w:val="0022797F"/>
    <w:rsid w:val="00237189"/>
    <w:rsid w:val="0023756A"/>
    <w:rsid w:val="00242880"/>
    <w:rsid w:val="00246D7B"/>
    <w:rsid w:val="00246E34"/>
    <w:rsid w:val="00252305"/>
    <w:rsid w:val="00252F8A"/>
    <w:rsid w:val="00256B08"/>
    <w:rsid w:val="002668DE"/>
    <w:rsid w:val="00266E63"/>
    <w:rsid w:val="002D33C4"/>
    <w:rsid w:val="002F5D3D"/>
    <w:rsid w:val="0032329F"/>
    <w:rsid w:val="0033106F"/>
    <w:rsid w:val="003378C3"/>
    <w:rsid w:val="0036359C"/>
    <w:rsid w:val="00382A8D"/>
    <w:rsid w:val="003A1D5F"/>
    <w:rsid w:val="003A2A6E"/>
    <w:rsid w:val="003A4B7B"/>
    <w:rsid w:val="003B23B7"/>
    <w:rsid w:val="003B59E2"/>
    <w:rsid w:val="003D2FCC"/>
    <w:rsid w:val="003E21A8"/>
    <w:rsid w:val="003E6B96"/>
    <w:rsid w:val="00415CAC"/>
    <w:rsid w:val="00426796"/>
    <w:rsid w:val="00437189"/>
    <w:rsid w:val="004433EF"/>
    <w:rsid w:val="00443C4E"/>
    <w:rsid w:val="00445AB9"/>
    <w:rsid w:val="00446203"/>
    <w:rsid w:val="004556CE"/>
    <w:rsid w:val="004A128A"/>
    <w:rsid w:val="004D0CAD"/>
    <w:rsid w:val="004D740D"/>
    <w:rsid w:val="004E2283"/>
    <w:rsid w:val="004F4CFB"/>
    <w:rsid w:val="004F6B85"/>
    <w:rsid w:val="004F7752"/>
    <w:rsid w:val="00503BA4"/>
    <w:rsid w:val="00507279"/>
    <w:rsid w:val="005129D7"/>
    <w:rsid w:val="00531C48"/>
    <w:rsid w:val="005409D5"/>
    <w:rsid w:val="00564086"/>
    <w:rsid w:val="00580B29"/>
    <w:rsid w:val="00586151"/>
    <w:rsid w:val="005A11BD"/>
    <w:rsid w:val="005B6C6D"/>
    <w:rsid w:val="005C3973"/>
    <w:rsid w:val="005C5EC5"/>
    <w:rsid w:val="005D23CE"/>
    <w:rsid w:val="005E7AB7"/>
    <w:rsid w:val="00605455"/>
    <w:rsid w:val="0060611D"/>
    <w:rsid w:val="0062271A"/>
    <w:rsid w:val="006369B7"/>
    <w:rsid w:val="00637396"/>
    <w:rsid w:val="00670859"/>
    <w:rsid w:val="0067241E"/>
    <w:rsid w:val="00676DCE"/>
    <w:rsid w:val="0069386D"/>
    <w:rsid w:val="00693BE6"/>
    <w:rsid w:val="006A02A4"/>
    <w:rsid w:val="006B3E54"/>
    <w:rsid w:val="006D2A81"/>
    <w:rsid w:val="006F2001"/>
    <w:rsid w:val="00747516"/>
    <w:rsid w:val="007612BA"/>
    <w:rsid w:val="00773E2D"/>
    <w:rsid w:val="007746CC"/>
    <w:rsid w:val="00782EE7"/>
    <w:rsid w:val="007A6BC9"/>
    <w:rsid w:val="007B6138"/>
    <w:rsid w:val="007D7C55"/>
    <w:rsid w:val="007F0F75"/>
    <w:rsid w:val="008250FC"/>
    <w:rsid w:val="008369AE"/>
    <w:rsid w:val="0085162A"/>
    <w:rsid w:val="0086581E"/>
    <w:rsid w:val="00873A87"/>
    <w:rsid w:val="0088210C"/>
    <w:rsid w:val="00892C74"/>
    <w:rsid w:val="008C207C"/>
    <w:rsid w:val="008C2F5B"/>
    <w:rsid w:val="008C4A42"/>
    <w:rsid w:val="008C5FCD"/>
    <w:rsid w:val="008C7EAA"/>
    <w:rsid w:val="008D59FF"/>
    <w:rsid w:val="009003AB"/>
    <w:rsid w:val="00920D43"/>
    <w:rsid w:val="009659FD"/>
    <w:rsid w:val="00966092"/>
    <w:rsid w:val="00987B45"/>
    <w:rsid w:val="0099285C"/>
    <w:rsid w:val="009B36EE"/>
    <w:rsid w:val="009C4843"/>
    <w:rsid w:val="009D2410"/>
    <w:rsid w:val="009D2D56"/>
    <w:rsid w:val="009F0145"/>
    <w:rsid w:val="00A13FBC"/>
    <w:rsid w:val="00A21A48"/>
    <w:rsid w:val="00A21EDC"/>
    <w:rsid w:val="00A26D77"/>
    <w:rsid w:val="00A27183"/>
    <w:rsid w:val="00A34ABE"/>
    <w:rsid w:val="00A8173C"/>
    <w:rsid w:val="00AF6B31"/>
    <w:rsid w:val="00B06D60"/>
    <w:rsid w:val="00B42B2A"/>
    <w:rsid w:val="00B4300B"/>
    <w:rsid w:val="00B5470D"/>
    <w:rsid w:val="00B54E84"/>
    <w:rsid w:val="00B870B7"/>
    <w:rsid w:val="00B87509"/>
    <w:rsid w:val="00BA2963"/>
    <w:rsid w:val="00BB389F"/>
    <w:rsid w:val="00BC1D33"/>
    <w:rsid w:val="00BC2B13"/>
    <w:rsid w:val="00BD45D6"/>
    <w:rsid w:val="00BD60B9"/>
    <w:rsid w:val="00BF2906"/>
    <w:rsid w:val="00BF5531"/>
    <w:rsid w:val="00C26605"/>
    <w:rsid w:val="00C41D78"/>
    <w:rsid w:val="00C42063"/>
    <w:rsid w:val="00C9473A"/>
    <w:rsid w:val="00C97BA9"/>
    <w:rsid w:val="00CA5872"/>
    <w:rsid w:val="00CC08A1"/>
    <w:rsid w:val="00CC0C3E"/>
    <w:rsid w:val="00CC3DE7"/>
    <w:rsid w:val="00CC5F0D"/>
    <w:rsid w:val="00CD1375"/>
    <w:rsid w:val="00CD538F"/>
    <w:rsid w:val="00CD63BF"/>
    <w:rsid w:val="00CD7F89"/>
    <w:rsid w:val="00CE4069"/>
    <w:rsid w:val="00CE7416"/>
    <w:rsid w:val="00CF3A8F"/>
    <w:rsid w:val="00CF5970"/>
    <w:rsid w:val="00D1211B"/>
    <w:rsid w:val="00D91CB9"/>
    <w:rsid w:val="00DA75ED"/>
    <w:rsid w:val="00DC72CF"/>
    <w:rsid w:val="00DC772F"/>
    <w:rsid w:val="00DE192B"/>
    <w:rsid w:val="00DF1990"/>
    <w:rsid w:val="00E06C28"/>
    <w:rsid w:val="00E1069B"/>
    <w:rsid w:val="00E21ED8"/>
    <w:rsid w:val="00E40377"/>
    <w:rsid w:val="00E54705"/>
    <w:rsid w:val="00E64AA8"/>
    <w:rsid w:val="00E96572"/>
    <w:rsid w:val="00EB33CA"/>
    <w:rsid w:val="00ED45B4"/>
    <w:rsid w:val="00EE0281"/>
    <w:rsid w:val="00EE10BA"/>
    <w:rsid w:val="00EE7122"/>
    <w:rsid w:val="00EF6205"/>
    <w:rsid w:val="00F034F9"/>
    <w:rsid w:val="00F03610"/>
    <w:rsid w:val="00F05BE5"/>
    <w:rsid w:val="00F1530A"/>
    <w:rsid w:val="00F31DBF"/>
    <w:rsid w:val="00F629D2"/>
    <w:rsid w:val="00F72B28"/>
    <w:rsid w:val="00F82A7A"/>
    <w:rsid w:val="00F82F50"/>
    <w:rsid w:val="00F8724B"/>
    <w:rsid w:val="00F90B4B"/>
    <w:rsid w:val="00F946E5"/>
    <w:rsid w:val="00F96F8C"/>
    <w:rsid w:val="00FA0C51"/>
    <w:rsid w:val="00FA45FD"/>
    <w:rsid w:val="00FA4D0D"/>
    <w:rsid w:val="00FB0E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612BA"/>
    <w:rPr>
      <w:sz w:val="24"/>
      <w:szCs w:val="24"/>
    </w:rPr>
  </w:style>
  <w:style w:type="paragraph" w:styleId="Cmsor7">
    <w:name w:val="heading 7"/>
    <w:basedOn w:val="Norml"/>
    <w:link w:val="Cmsor7Char"/>
    <w:qFormat/>
    <w:rsid w:val="00BC1D33"/>
    <w:p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612BA"/>
    <w:pPr>
      <w:tabs>
        <w:tab w:val="center" w:pos="4536"/>
        <w:tab w:val="right" w:pos="9072"/>
      </w:tabs>
    </w:pPr>
  </w:style>
  <w:style w:type="character" w:customStyle="1" w:styleId="lfejChar">
    <w:name w:val="Élőfej Char"/>
    <w:basedOn w:val="Bekezdsalapbettpusa"/>
    <w:link w:val="lfej"/>
    <w:uiPriority w:val="99"/>
    <w:semiHidden/>
    <w:rsid w:val="007612BA"/>
    <w:rPr>
      <w:sz w:val="24"/>
      <w:szCs w:val="24"/>
      <w:lang w:val="hu-HU" w:eastAsia="hu-HU" w:bidi="ar-SA"/>
    </w:rPr>
  </w:style>
  <w:style w:type="paragraph" w:styleId="llb">
    <w:name w:val="footer"/>
    <w:basedOn w:val="Norml"/>
    <w:link w:val="llbChar"/>
    <w:uiPriority w:val="99"/>
    <w:rsid w:val="007612BA"/>
    <w:pPr>
      <w:tabs>
        <w:tab w:val="center" w:pos="4536"/>
        <w:tab w:val="right" w:pos="9072"/>
      </w:tabs>
    </w:pPr>
  </w:style>
  <w:style w:type="character" w:customStyle="1" w:styleId="llbChar">
    <w:name w:val="Élőláb Char"/>
    <w:basedOn w:val="Bekezdsalapbettpusa"/>
    <w:link w:val="llb"/>
    <w:uiPriority w:val="99"/>
    <w:rsid w:val="007612BA"/>
    <w:rPr>
      <w:sz w:val="24"/>
      <w:szCs w:val="24"/>
      <w:lang w:val="hu-HU" w:eastAsia="hu-HU" w:bidi="ar-SA"/>
    </w:rPr>
  </w:style>
  <w:style w:type="paragraph" w:customStyle="1" w:styleId="Iktatszm">
    <w:name w:val="Iktatószám"/>
    <w:basedOn w:val="Norml"/>
    <w:uiPriority w:val="99"/>
    <w:rsid w:val="007612BA"/>
    <w:pPr>
      <w:jc w:val="center"/>
    </w:pPr>
    <w:rPr>
      <w:b/>
      <w:caps/>
    </w:rPr>
  </w:style>
  <w:style w:type="paragraph" w:customStyle="1" w:styleId="Listaszerbekezds1">
    <w:name w:val="Listaszerű bekezdés1"/>
    <w:basedOn w:val="Norml"/>
    <w:rsid w:val="007612BA"/>
    <w:pPr>
      <w:spacing w:after="200" w:line="276" w:lineRule="auto"/>
      <w:ind w:left="720"/>
      <w:contextualSpacing/>
    </w:pPr>
    <w:rPr>
      <w:rFonts w:ascii="Calibri" w:hAnsi="Calibri" w:cs="Calibri"/>
      <w:sz w:val="22"/>
      <w:szCs w:val="22"/>
    </w:rPr>
  </w:style>
  <w:style w:type="paragraph" w:customStyle="1" w:styleId="NormlWeb1">
    <w:name w:val="Normál (Web)1"/>
    <w:basedOn w:val="Norml"/>
    <w:rsid w:val="007612BA"/>
    <w:pPr>
      <w:spacing w:before="100" w:after="100"/>
      <w:jc w:val="both"/>
    </w:pPr>
    <w:rPr>
      <w:szCs w:val="20"/>
    </w:rPr>
  </w:style>
  <w:style w:type="character" w:styleId="Oldalszm">
    <w:name w:val="page number"/>
    <w:basedOn w:val="Bekezdsalapbettpusa"/>
    <w:uiPriority w:val="99"/>
    <w:rsid w:val="007612BA"/>
  </w:style>
  <w:style w:type="character" w:styleId="Hiperhivatkozs">
    <w:name w:val="Hyperlink"/>
    <w:basedOn w:val="Bekezdsalapbettpusa"/>
    <w:rsid w:val="0013602E"/>
    <w:rPr>
      <w:color w:val="0000FF"/>
      <w:u w:val="single"/>
    </w:rPr>
  </w:style>
  <w:style w:type="paragraph" w:styleId="Buborkszveg">
    <w:name w:val="Balloon Text"/>
    <w:basedOn w:val="Norml"/>
    <w:semiHidden/>
    <w:rsid w:val="00564086"/>
    <w:rPr>
      <w:rFonts w:ascii="Tahoma" w:hAnsi="Tahoma" w:cs="Tahoma"/>
      <w:sz w:val="16"/>
      <w:szCs w:val="16"/>
    </w:rPr>
  </w:style>
  <w:style w:type="character" w:customStyle="1" w:styleId="FooterChar">
    <w:name w:val="Footer Char"/>
    <w:basedOn w:val="Bekezdsalapbettpusa"/>
    <w:locked/>
    <w:rsid w:val="00987B45"/>
    <w:rPr>
      <w:rFonts w:cs="Times New Roman"/>
      <w:sz w:val="24"/>
      <w:szCs w:val="24"/>
    </w:rPr>
  </w:style>
  <w:style w:type="paragraph" w:styleId="Vltozat">
    <w:name w:val="Revision"/>
    <w:hidden/>
    <w:uiPriority w:val="99"/>
    <w:semiHidden/>
    <w:rsid w:val="008369AE"/>
    <w:rPr>
      <w:sz w:val="24"/>
      <w:szCs w:val="24"/>
    </w:rPr>
  </w:style>
  <w:style w:type="paragraph" w:styleId="Csakszveg">
    <w:name w:val="Plain Text"/>
    <w:basedOn w:val="Norml"/>
    <w:link w:val="CsakszvegChar"/>
    <w:uiPriority w:val="99"/>
    <w:unhideWhenUsed/>
    <w:rsid w:val="00BC2B13"/>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rsid w:val="00BC2B13"/>
    <w:rPr>
      <w:rFonts w:ascii="Consolas" w:eastAsiaTheme="minorHAnsi" w:hAnsi="Consolas" w:cstheme="minorBidi"/>
      <w:sz w:val="21"/>
      <w:szCs w:val="21"/>
      <w:lang w:eastAsia="en-US"/>
    </w:rPr>
  </w:style>
  <w:style w:type="character" w:customStyle="1" w:styleId="Cmsor7Char">
    <w:name w:val="Címsor 7 Char"/>
    <w:basedOn w:val="Bekezdsalapbettpusa"/>
    <w:link w:val="Cmsor7"/>
    <w:rsid w:val="00BC1D33"/>
    <w:rPr>
      <w:sz w:val="24"/>
      <w:szCs w:val="24"/>
    </w:rPr>
  </w:style>
  <w:style w:type="character" w:customStyle="1" w:styleId="epbold1">
    <w:name w:val="ep_bold1"/>
    <w:basedOn w:val="Bekezdsalapbettpusa"/>
    <w:rsid w:val="00DC72CF"/>
    <w:rPr>
      <w:b/>
      <w:bCs/>
    </w:rPr>
  </w:style>
  <w:style w:type="paragraph" w:styleId="Listaszerbekezds">
    <w:name w:val="List Paragraph"/>
    <w:basedOn w:val="Norml"/>
    <w:uiPriority w:val="34"/>
    <w:qFormat/>
    <w:rsid w:val="00ED45B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85547189">
      <w:bodyDiv w:val="1"/>
      <w:marLeft w:val="0"/>
      <w:marRight w:val="0"/>
      <w:marTop w:val="0"/>
      <w:marBottom w:val="0"/>
      <w:divBdr>
        <w:top w:val="none" w:sz="0" w:space="0" w:color="auto"/>
        <w:left w:val="none" w:sz="0" w:space="0" w:color="auto"/>
        <w:bottom w:val="none" w:sz="0" w:space="0" w:color="auto"/>
        <w:right w:val="none" w:sz="0" w:space="0" w:color="auto"/>
      </w:divBdr>
    </w:div>
    <w:div w:id="9860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F529B-2243-47D4-A958-06BF5C3F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3869</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ELŐTERJESZTŐ</vt:lpstr>
    </vt:vector>
  </TitlesOfParts>
  <Company>OM</Company>
  <LinksUpToDate>false</LinksUpToDate>
  <CharactersWithSpaces>4362</CharactersWithSpaces>
  <SharedDoc>false</SharedDoc>
  <HLinks>
    <vt:vector size="6" baseType="variant">
      <vt:variant>
        <vt:i4>5636213</vt:i4>
      </vt:variant>
      <vt:variant>
        <vt:i4>0</vt:i4>
      </vt:variant>
      <vt:variant>
        <vt:i4>0</vt:i4>
      </vt:variant>
      <vt:variant>
        <vt:i4>5</vt:i4>
      </vt:variant>
      <vt:variant>
        <vt:lpwstr>mailto:lilla.rozsnyai@nefmi.gov.hu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ELŐTERJESZTŐ</dc:title>
  <dc:subject/>
  <dc:creator>rozsnyail</dc:creator>
  <cp:keywords/>
  <cp:lastModifiedBy>hegedusi</cp:lastModifiedBy>
  <cp:revision>2</cp:revision>
  <cp:lastPrinted>2012-06-05T13:47:00Z</cp:lastPrinted>
  <dcterms:created xsi:type="dcterms:W3CDTF">2012-07-11T10:04:00Z</dcterms:created>
  <dcterms:modified xsi:type="dcterms:W3CDTF">2012-07-11T10:04:00Z</dcterms:modified>
</cp:coreProperties>
</file>