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93" w:rsidRDefault="00600493" w:rsidP="00D24CA3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PÁLYÁZATI FELHÍVÁS</w:t>
      </w:r>
    </w:p>
    <w:p w:rsidR="00600493" w:rsidRDefault="00600493" w:rsidP="00D24CA3">
      <w:pPr>
        <w:jc w:val="center"/>
        <w:rPr>
          <w:rFonts w:ascii="Garamond" w:hAnsi="Garamond"/>
          <w:b/>
          <w:szCs w:val="24"/>
        </w:rPr>
      </w:pPr>
    </w:p>
    <w:p w:rsidR="00600493" w:rsidRDefault="00600493" w:rsidP="00D24CA3">
      <w:p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 Magyarországi Németek Országos Önkormányzata pályázatot hirdet a Magyarországi Németek Országos Önkormányzata Német Színháza – Deutsche Bühne Ungarn – (székhelye: 7400 Szekszárd, Garay tér 4.) vezetői (igazgatói) munkakörének betöltésére</w:t>
      </w:r>
    </w:p>
    <w:p w:rsidR="00600493" w:rsidRDefault="00600493" w:rsidP="00D24CA3">
      <w:pPr>
        <w:jc w:val="center"/>
        <w:rPr>
          <w:rFonts w:ascii="Garamond" w:hAnsi="Garamond"/>
          <w:szCs w:val="24"/>
        </w:rPr>
      </w:pPr>
    </w:p>
    <w:p w:rsidR="00600493" w:rsidRDefault="00600493" w:rsidP="00D24CA3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A vezető foglalkoztatása: </w:t>
      </w:r>
    </w:p>
    <w:p w:rsidR="00600493" w:rsidRDefault="00600493" w:rsidP="00D24CA3">
      <w:pPr>
        <w:ind w:left="42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foglalkoztatás az előadó-művészeti szervezetek támogatásáról és sajátos foglalkoztatási szabályairól szóló 2008. évi XCIX. törvény (továbbiakban: Emtv.) 39. §-a alapján a Munka Törvénykönyvéről szóló 1992. évi XXII. törvény (továbbiakban: Mt.) vezető állású munkavállalókra vonatkozó rendelkezései alkalmazásával munkaviszony keretében történik. </w:t>
      </w:r>
    </w:p>
    <w:p w:rsidR="00600493" w:rsidRDefault="00600493" w:rsidP="00D24CA3">
      <w:pPr>
        <w:ind w:left="42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munkaviszony határozott időtartamra, a pályázat eredményes elbírálásától számított 5 évre jön létre. </w:t>
      </w:r>
    </w:p>
    <w:p w:rsidR="00600493" w:rsidRDefault="00600493" w:rsidP="00D24CA3">
      <w:pPr>
        <w:ind w:left="42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munkába lépés napja: 2012. december 1.</w:t>
      </w:r>
    </w:p>
    <w:p w:rsidR="00600493" w:rsidRDefault="00600493" w:rsidP="00D24CA3">
      <w:pPr>
        <w:ind w:left="42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munkaviszony tekintetében az Mt. 191. §-ában meghatározott összeférhetetlenségi szabályok irányadóak. </w:t>
      </w:r>
    </w:p>
    <w:p w:rsidR="00600493" w:rsidRDefault="00600493" w:rsidP="00D24CA3">
      <w:pPr>
        <w:pStyle w:val="NormalWeb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Bérezés: megegyezés szerint, az Mt. vezető állású munkavállalóira vonatkozó rendelkezések figyelembe vételével.</w:t>
      </w:r>
    </w:p>
    <w:p w:rsidR="00600493" w:rsidRDefault="00600493" w:rsidP="00D24CA3">
      <w:pPr>
        <w:pStyle w:val="NormalWeb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Az intézmény közfeladata: </w:t>
      </w:r>
    </w:p>
    <w:p w:rsidR="00600493" w:rsidRDefault="00600493" w:rsidP="00D24CA3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Az Intézmény tevékenysége folytatása keretében sajátos eszközeivel hozzájárul a Magyarországon élő német nemzetiségi lakosság nyelvi és kulturális identitásának megőrzéséhez, fejlesztéséhez. </w:t>
      </w:r>
    </w:p>
    <w:p w:rsidR="00600493" w:rsidRDefault="00600493" w:rsidP="00D24CA3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német kultúra, nyelv-és irodalom iránt érdeklődő közönség számára a műfajilag sokszínű német nyelvű színházi előadásokat hoz létre. </w:t>
      </w:r>
    </w:p>
    <w:p w:rsidR="00600493" w:rsidRDefault="00600493" w:rsidP="00D24CA3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Bemutatókat tart székhelyén és az ország más területein, tájol, vendégjátékokat teljesít és fogad. </w:t>
      </w:r>
    </w:p>
    <w:p w:rsidR="00600493" w:rsidRDefault="00600493" w:rsidP="00D24CA3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Vállalja a német irodalom értékeinek tolmácsolását, a hazai német nyelvű irodalom népszerűsítését, bemutatását a magyarországi és a nemzetközi kulturális életben. </w:t>
      </w:r>
    </w:p>
    <w:p w:rsidR="00600493" w:rsidRDefault="00600493" w:rsidP="00D24CA3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Támogatja a hazai német nyelvű amatőr színjátszást és a német kultúra körébe tartozó előadó művészeti tevékenységet. </w:t>
      </w:r>
    </w:p>
    <w:p w:rsidR="00600493" w:rsidRDefault="00600493" w:rsidP="00D24CA3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Kapcsolatot tart német nyelvű színházakkal és a német színházi szervezetekkel, kölcsönös szakmai programokat, turnékat készít elő és bonyolít le. </w:t>
      </w:r>
    </w:p>
    <w:p w:rsidR="00600493" w:rsidRDefault="00600493" w:rsidP="00D24CA3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Közönségbázisának biztosítása érdekében gondoskodik tevékenysége széleskörű megismeréséről és népszerűsítéséről. </w:t>
      </w:r>
    </w:p>
    <w:p w:rsidR="00600493" w:rsidRDefault="00600493" w:rsidP="00D24CA3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Kapcsolatot tart a német nemzetiségi önkormányzatokkal, egyesületekkel, művészeti csoportokkal, lehetőség szerint hozzájárul eredményes működésükhöz. </w:t>
      </w:r>
    </w:p>
    <w:p w:rsidR="00600493" w:rsidRDefault="00600493" w:rsidP="00D24CA3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Kiemelt kapcsolatokat ápol a német alap- közép-és felsőfokú oktatási-nevelési intézményekkel, támogatja a diákszínjátszást, segíti a színház iránt érdeklődő színházi pályára készülő tehetséges fiatalokat. Rendszeres bemutatókat tart az ifjúsági közönség számára.</w:t>
      </w:r>
    </w:p>
    <w:p w:rsidR="00600493" w:rsidRDefault="00600493" w:rsidP="00D24CA3">
      <w:pPr>
        <w:pStyle w:val="Header"/>
        <w:tabs>
          <w:tab w:val="left" w:pos="708"/>
        </w:tabs>
        <w:ind w:left="426" w:hanging="284"/>
        <w:jc w:val="both"/>
        <w:rPr>
          <w:rFonts w:ascii="Garamond" w:hAnsi="Garamond"/>
          <w:b/>
          <w:bCs/>
          <w:szCs w:val="24"/>
        </w:rPr>
      </w:pPr>
    </w:p>
    <w:p w:rsidR="00600493" w:rsidRDefault="00600493" w:rsidP="00D24CA3">
      <w:pPr>
        <w:pStyle w:val="Header"/>
        <w:tabs>
          <w:tab w:val="left" w:pos="708"/>
        </w:tabs>
        <w:ind w:left="426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Az intézmény jogállása: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 w:cs="Arial"/>
          <w:szCs w:val="24"/>
        </w:rPr>
        <w:t>önálló jogi személy, országos nemzetiségi önkormányzati költségvetési szerv.</w:t>
      </w:r>
    </w:p>
    <w:p w:rsidR="00600493" w:rsidRDefault="00600493" w:rsidP="00D24CA3">
      <w:pPr>
        <w:pStyle w:val="Header"/>
        <w:tabs>
          <w:tab w:val="left" w:pos="708"/>
        </w:tabs>
        <w:ind w:left="426" w:hanging="284"/>
        <w:jc w:val="both"/>
        <w:rPr>
          <w:rFonts w:ascii="Garamond" w:hAnsi="Garamond"/>
          <w:b/>
          <w:szCs w:val="24"/>
        </w:rPr>
      </w:pPr>
    </w:p>
    <w:p w:rsidR="00600493" w:rsidRDefault="00600493" w:rsidP="00D24CA3">
      <w:pPr>
        <w:pStyle w:val="Header"/>
        <w:tabs>
          <w:tab w:val="left" w:pos="708"/>
        </w:tabs>
        <w:ind w:left="426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Az igazgató kiemelt feladatai:</w:t>
      </w:r>
    </w:p>
    <w:p w:rsidR="00600493" w:rsidRDefault="00600493" w:rsidP="00D24CA3">
      <w:pPr>
        <w:pStyle w:val="NormalWeb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 Magyarországi Németek Országos Önkormányzata Német Színháza különböző művészeti ágakban (színművészet, táncművészet, zeneművészet) szolgálja ki a közönség igényeit. Ennek megfelelően az intézmény igazgatójának az államháztartásról szóló 2011. évi CXCV. törvény „A költségvetési szervek jogállása” című fejezetében előírtakon túl kiemelt feladatai:</w:t>
      </w:r>
    </w:p>
    <w:p w:rsidR="00600493" w:rsidRDefault="00600493" w:rsidP="00D24CA3">
      <w:pPr>
        <w:pStyle w:val="Header"/>
        <w:numPr>
          <w:ilvl w:val="0"/>
          <w:numId w:val="1"/>
        </w:numPr>
        <w:tabs>
          <w:tab w:val="left" w:pos="3544"/>
        </w:tabs>
        <w:ind w:hanging="29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költségvetési támogatások, bevételek és egyéb források mértékét figyelembe vevő intézményi gazdálkodás, létszámgazdálkodás,</w:t>
      </w:r>
    </w:p>
    <w:p w:rsidR="00600493" w:rsidRDefault="00600493" w:rsidP="00D24CA3">
      <w:pPr>
        <w:pStyle w:val="Header"/>
        <w:numPr>
          <w:ilvl w:val="0"/>
          <w:numId w:val="1"/>
        </w:numPr>
        <w:tabs>
          <w:tab w:val="left" w:pos="3544"/>
        </w:tabs>
        <w:ind w:hanging="29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törekvés a fenntartói forrásokat kiegészítő pályázati és szponzori támogatások és a saját bevétel hatékony növelésére,</w:t>
      </w:r>
    </w:p>
    <w:p w:rsidR="00600493" w:rsidRDefault="00600493" w:rsidP="00D24CA3">
      <w:pPr>
        <w:pStyle w:val="NormalWeb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művészeti évadokra szólóan elkészített tervek alapján a magyarországi német színjátszás hagyományainak megőrzése és ápolása,</w:t>
      </w:r>
    </w:p>
    <w:p w:rsidR="00600493" w:rsidRDefault="00600493" w:rsidP="00D24CA3">
      <w:pPr>
        <w:pStyle w:val="NormalWeb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 intézmény közönségkapcsolatainak ápolása, törekedve a látogatottság növelésére,</w:t>
      </w:r>
    </w:p>
    <w:p w:rsidR="00600493" w:rsidRDefault="00600493" w:rsidP="00D24CA3">
      <w:pPr>
        <w:pStyle w:val="NormalWeb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társulat művészeti munkájában rejlő turisztikai lehetőségek kihasználása, művészeti sikerekkel hozzájárulás a magyarországi németek kulturális ismertségének és elismertségének további növeléséhez,</w:t>
      </w:r>
    </w:p>
    <w:p w:rsidR="00600493" w:rsidRDefault="00600493" w:rsidP="00D24CA3">
      <w:pPr>
        <w:pStyle w:val="Header"/>
        <w:numPr>
          <w:ilvl w:val="0"/>
          <w:numId w:val="1"/>
        </w:numPr>
        <w:tabs>
          <w:tab w:val="left" w:pos="3544"/>
        </w:tabs>
        <w:ind w:hanging="29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az irányítói jogokat gyakorló önkormányzat felkérésére közreműködés a magyarországi német közösség kulturális életét reprezentáló programok, fesztiválok és a társművészetek rendezvényeinek megvalósításában.</w:t>
      </w:r>
    </w:p>
    <w:p w:rsidR="00600493" w:rsidRDefault="00600493" w:rsidP="00D24CA3">
      <w:pPr>
        <w:pStyle w:val="Header"/>
        <w:tabs>
          <w:tab w:val="left" w:pos="284"/>
          <w:tab w:val="left" w:pos="3544"/>
        </w:tabs>
        <w:ind w:left="426"/>
        <w:jc w:val="both"/>
        <w:rPr>
          <w:rFonts w:ascii="Garamond" w:hAnsi="Garamond"/>
          <w:b/>
          <w:bCs/>
          <w:szCs w:val="24"/>
        </w:rPr>
      </w:pPr>
    </w:p>
    <w:p w:rsidR="00600493" w:rsidRDefault="00600493" w:rsidP="00D24CA3">
      <w:pPr>
        <w:pStyle w:val="Header"/>
        <w:tabs>
          <w:tab w:val="left" w:pos="284"/>
          <w:tab w:val="left" w:pos="3544"/>
        </w:tabs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Az intézmény 2012. évi költségvetésének fő előirányzatai: </w:t>
      </w:r>
    </w:p>
    <w:p w:rsidR="00600493" w:rsidRDefault="00600493" w:rsidP="00D24CA3">
      <w:pPr>
        <w:rPr>
          <w:rFonts w:ascii="Garamond" w:hAnsi="Garamond"/>
          <w:szCs w:val="24"/>
        </w:rPr>
      </w:pPr>
    </w:p>
    <w:tbl>
      <w:tblPr>
        <w:tblW w:w="7176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1995"/>
        <w:gridCol w:w="3241"/>
        <w:gridCol w:w="1940"/>
      </w:tblGrid>
      <w:tr w:rsidR="00600493" w:rsidTr="00D24CA3">
        <w:trPr>
          <w:trHeight w:val="315"/>
        </w:trPr>
        <w:tc>
          <w:tcPr>
            <w:tcW w:w="5236" w:type="dxa"/>
            <w:gridSpan w:val="2"/>
            <w:noWrap/>
            <w:vAlign w:val="center"/>
          </w:tcPr>
          <w:p w:rsidR="00600493" w:rsidRDefault="00600493">
            <w:pPr>
              <w:jc w:val="center"/>
              <w:rPr>
                <w:rFonts w:ascii="Garamond" w:hAnsi="Garamond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Cs w:val="24"/>
                <w:lang w:eastAsia="hu-HU"/>
              </w:rPr>
              <w:t>Megnevezés</w:t>
            </w:r>
          </w:p>
        </w:tc>
        <w:tc>
          <w:tcPr>
            <w:tcW w:w="1940" w:type="dxa"/>
            <w:noWrap/>
            <w:vAlign w:val="center"/>
          </w:tcPr>
          <w:p w:rsidR="00600493" w:rsidRDefault="00600493">
            <w:pPr>
              <w:jc w:val="center"/>
              <w:rPr>
                <w:rFonts w:ascii="Garamond" w:hAnsi="Garamond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Cs w:val="24"/>
                <w:lang w:eastAsia="hu-HU"/>
              </w:rPr>
              <w:t>Összeg E Ft-ban</w:t>
            </w:r>
          </w:p>
        </w:tc>
      </w:tr>
      <w:tr w:rsidR="00600493" w:rsidTr="00D24CA3">
        <w:trPr>
          <w:trHeight w:val="300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pStyle w:val="Header"/>
              <w:tabs>
                <w:tab w:val="left" w:pos="284"/>
                <w:tab w:val="left" w:pos="3544"/>
              </w:tabs>
              <w:ind w:left="426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Bevételek</w:t>
            </w: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</w:tr>
      <w:tr w:rsidR="00600493" w:rsidTr="00D24CA3">
        <w:trPr>
          <w:trHeight w:val="300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Intézményi működési bevételek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right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9.350</w:t>
            </w:r>
          </w:p>
        </w:tc>
      </w:tr>
      <w:tr w:rsidR="00600493" w:rsidTr="00D24CA3">
        <w:trPr>
          <w:trHeight w:val="300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Önkormányzati támogatás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right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77.400</w:t>
            </w:r>
          </w:p>
        </w:tc>
      </w:tr>
      <w:tr w:rsidR="00600493" w:rsidTr="00D24CA3">
        <w:trPr>
          <w:trHeight w:val="300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i/>
                <w:iCs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i/>
                <w:iCs/>
                <w:color w:val="000000"/>
                <w:szCs w:val="24"/>
                <w:lang w:eastAsia="hu-HU"/>
              </w:rPr>
              <w:t>(ebből: központi támogatás)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right"/>
              <w:rPr>
                <w:rFonts w:ascii="Garamond" w:hAnsi="Garamond"/>
                <w:i/>
                <w:iCs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i/>
                <w:iCs/>
                <w:color w:val="000000"/>
                <w:szCs w:val="24"/>
                <w:lang w:eastAsia="hu-HU"/>
              </w:rPr>
              <w:t>52.400</w:t>
            </w:r>
          </w:p>
        </w:tc>
      </w:tr>
      <w:tr w:rsidR="00600493" w:rsidTr="00D24CA3">
        <w:trPr>
          <w:trHeight w:val="300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iCs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iCs/>
                <w:color w:val="000000"/>
                <w:szCs w:val="24"/>
                <w:lang w:eastAsia="hu-HU"/>
              </w:rPr>
              <w:t>Pénzforgalom nélküli bevétel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right"/>
              <w:rPr>
                <w:rFonts w:ascii="Garamond" w:hAnsi="Garamond"/>
                <w:iCs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iCs/>
                <w:color w:val="000000"/>
                <w:szCs w:val="24"/>
                <w:lang w:eastAsia="hu-HU"/>
              </w:rPr>
              <w:t>16.000</w:t>
            </w:r>
          </w:p>
        </w:tc>
      </w:tr>
      <w:tr w:rsidR="00600493" w:rsidTr="00D24CA3">
        <w:trPr>
          <w:trHeight w:val="315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Cs w:val="24"/>
                <w:lang w:eastAsia="hu-HU"/>
              </w:rPr>
              <w:t>Bevételek összesen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right"/>
              <w:rPr>
                <w:rFonts w:ascii="Garamond" w:hAnsi="Garamond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Cs w:val="24"/>
                <w:lang w:eastAsia="hu-HU"/>
              </w:rPr>
              <w:t>102.750</w:t>
            </w:r>
          </w:p>
        </w:tc>
      </w:tr>
      <w:tr w:rsidR="00600493" w:rsidTr="00D24CA3">
        <w:trPr>
          <w:trHeight w:val="300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pStyle w:val="Header"/>
              <w:tabs>
                <w:tab w:val="left" w:pos="284"/>
                <w:tab w:val="left" w:pos="3544"/>
              </w:tabs>
              <w:ind w:left="426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Kiadások</w:t>
            </w: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</w:tr>
      <w:tr w:rsidR="00600493" w:rsidTr="00D24CA3">
        <w:trPr>
          <w:trHeight w:val="300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Személyi juttatások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right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51.513</w:t>
            </w:r>
          </w:p>
        </w:tc>
      </w:tr>
      <w:tr w:rsidR="00600493" w:rsidTr="00D24CA3">
        <w:trPr>
          <w:trHeight w:val="300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Munkaadót terhelő járulékok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right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13.491</w:t>
            </w:r>
          </w:p>
        </w:tc>
      </w:tr>
      <w:tr w:rsidR="00600493" w:rsidTr="00D24CA3">
        <w:trPr>
          <w:trHeight w:val="300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Dologi kiadások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right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37.746</w:t>
            </w:r>
          </w:p>
        </w:tc>
      </w:tr>
      <w:tr w:rsidR="00600493" w:rsidTr="00D24CA3">
        <w:trPr>
          <w:trHeight w:val="300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Felhalmozási kiadások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right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0</w:t>
            </w:r>
          </w:p>
        </w:tc>
      </w:tr>
      <w:tr w:rsidR="00600493" w:rsidTr="00D24CA3">
        <w:trPr>
          <w:trHeight w:val="315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Cs w:val="24"/>
                <w:lang w:eastAsia="hu-HU"/>
              </w:rPr>
              <w:t>Kiadások összesen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right"/>
              <w:rPr>
                <w:rFonts w:ascii="Garamond" w:hAnsi="Garamond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Cs w:val="24"/>
                <w:lang w:eastAsia="hu-HU"/>
              </w:rPr>
              <w:t>102.750</w:t>
            </w:r>
          </w:p>
        </w:tc>
      </w:tr>
      <w:tr w:rsidR="00600493" w:rsidTr="00D24CA3">
        <w:trPr>
          <w:trHeight w:val="315"/>
        </w:trPr>
        <w:tc>
          <w:tcPr>
            <w:tcW w:w="1995" w:type="dxa"/>
            <w:noWrap/>
            <w:vAlign w:val="bottom"/>
          </w:tcPr>
          <w:p w:rsidR="00600493" w:rsidRDefault="00600493">
            <w:pPr>
              <w:pStyle w:val="Header"/>
              <w:tabs>
                <w:tab w:val="left" w:pos="284"/>
                <w:tab w:val="left" w:pos="3544"/>
              </w:tabs>
              <w:ind w:left="426"/>
              <w:jc w:val="both"/>
              <w:rPr>
                <w:rFonts w:ascii="Garamond" w:hAnsi="Garamond"/>
                <w:bCs/>
                <w:color w:val="00000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Cs w:val="24"/>
              </w:rPr>
              <w:t>Létszám (fő):</w:t>
            </w:r>
          </w:p>
        </w:tc>
        <w:tc>
          <w:tcPr>
            <w:tcW w:w="3241" w:type="dxa"/>
            <w:noWrap/>
            <w:vAlign w:val="bottom"/>
          </w:tcPr>
          <w:p w:rsidR="00600493" w:rsidRDefault="00600493">
            <w:pPr>
              <w:jc w:val="both"/>
              <w:rPr>
                <w:rFonts w:ascii="Garamond" w:hAnsi="Garamond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noWrap/>
            <w:vAlign w:val="bottom"/>
          </w:tcPr>
          <w:p w:rsidR="00600493" w:rsidRDefault="00600493">
            <w:pPr>
              <w:jc w:val="right"/>
              <w:rPr>
                <w:rFonts w:ascii="Garamond" w:hAnsi="Garamond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hAnsi="Garamond"/>
                <w:bCs/>
                <w:color w:val="000000"/>
                <w:szCs w:val="24"/>
                <w:lang w:eastAsia="hu-HU"/>
              </w:rPr>
              <w:t>29</w:t>
            </w:r>
          </w:p>
        </w:tc>
      </w:tr>
    </w:tbl>
    <w:p w:rsidR="00600493" w:rsidRDefault="00600493" w:rsidP="00D24CA3">
      <w:pPr>
        <w:rPr>
          <w:rFonts w:ascii="Garamond" w:hAnsi="Garamond"/>
          <w:b/>
          <w:bCs/>
          <w:szCs w:val="24"/>
        </w:rPr>
      </w:pPr>
    </w:p>
    <w:p w:rsidR="00600493" w:rsidRDefault="00600493" w:rsidP="00D24CA3">
      <w:pPr>
        <w:rPr>
          <w:rFonts w:ascii="Garamond" w:hAnsi="Garamond"/>
          <w:b/>
          <w:bCs/>
          <w:szCs w:val="24"/>
        </w:rPr>
      </w:pPr>
    </w:p>
    <w:p w:rsidR="00600493" w:rsidRDefault="00600493" w:rsidP="00D24CA3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Pályázati feltételek:</w:t>
      </w:r>
    </w:p>
    <w:p w:rsidR="00600493" w:rsidRDefault="00600493" w:rsidP="00D24CA3">
      <w:pPr>
        <w:pStyle w:val="NormalWeb"/>
        <w:numPr>
          <w:ilvl w:val="0"/>
          <w:numId w:val="2"/>
        </w:num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Az Emtv. 40. § (1) és (3) bekezdéseinek megfelelően előadó-művészeti intézményben vezető munkakör ellátásával az a személy bízható meg, aki:</w:t>
      </w:r>
    </w:p>
    <w:p w:rsidR="00600493" w:rsidRDefault="00600493" w:rsidP="00D24CA3">
      <w:pPr>
        <w:pStyle w:val="NormalWeb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szakirányú felsőfokú végzettséggel, és</w:t>
      </w:r>
    </w:p>
    <w:p w:rsidR="00600493" w:rsidRDefault="00600493" w:rsidP="00D24CA3">
      <w:pPr>
        <w:pStyle w:val="NormalWeb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felsőfokú német nyelvtudással és</w:t>
      </w:r>
    </w:p>
    <w:p w:rsidR="00600493" w:rsidRDefault="00600493" w:rsidP="00D24CA3">
      <w:pPr>
        <w:pStyle w:val="NormalWeb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legalább ötéves szakmai gyakorlattal rendelkezik.</w:t>
      </w:r>
    </w:p>
    <w:p w:rsidR="00600493" w:rsidRDefault="00600493" w:rsidP="00D24CA3">
      <w:pPr>
        <w:pStyle w:val="NormalWeb"/>
        <w:ind w:left="1227"/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Szakirányú felsőfokú végzettségnek minősül </w:t>
      </w:r>
      <w:r>
        <w:rPr>
          <w:rFonts w:ascii="Garamond" w:hAnsi="Garamond"/>
        </w:rPr>
        <w:t>a felsőfokú oktatási intézményben szerzett, az intézmény alaptevékenységének megfelelő diplomával vagy oklevéllel, továbbá a jogász, illetve a közgazdász oklevéllel tanúsított végzettség.</w:t>
      </w:r>
    </w:p>
    <w:p w:rsidR="00600493" w:rsidRDefault="00600493" w:rsidP="00D24CA3">
      <w:pPr>
        <w:pStyle w:val="NormalWeb"/>
        <w:ind w:left="1227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/>
          <w:iCs/>
        </w:rPr>
        <w:t xml:space="preserve">Felsőfokú német nyelvtudásnak minősül: </w:t>
      </w:r>
      <w:r>
        <w:rPr>
          <w:rFonts w:ascii="Garamond" w:hAnsi="Garamond"/>
          <w:bCs/>
          <w:iCs/>
        </w:rPr>
        <w:t>Államilag elismert felsőfokú C típusú, vagy azzal egyenértékű német nyelvvizsga, vagy külföldön német nyelven szerzett szakirányú felsőfokú végzettség, mely diplomát a Magyar Ekvivalencia és Információs Központ elismert.</w:t>
      </w:r>
    </w:p>
    <w:p w:rsidR="00600493" w:rsidRDefault="00600493" w:rsidP="00D24CA3">
      <w:pPr>
        <w:pStyle w:val="NormalWeb"/>
        <w:ind w:left="1227"/>
        <w:jc w:val="both"/>
        <w:rPr>
          <w:rFonts w:ascii="Garamond" w:hAnsi="Garamond"/>
        </w:rPr>
      </w:pPr>
      <w:r>
        <w:rPr>
          <w:rFonts w:ascii="Garamond" w:hAnsi="Garamond"/>
          <w:bCs/>
          <w:i/>
          <w:iCs/>
        </w:rPr>
        <w:t>Szakmai gyakorlatnak minősül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</w:rPr>
        <w:t>a valamely előadó-művészeti szervezetnél, a szervezet alaptevékenységének megfelelő és ahhoz közvetlenül kapcsolódó munkakörben, munkavégzésre irányuló egyéb jogviszony esetében pedig az ilyen feladatkörben eltöltött idő.</w:t>
      </w:r>
    </w:p>
    <w:p w:rsidR="00600493" w:rsidRDefault="00600493" w:rsidP="00D24CA3">
      <w:pPr>
        <w:pStyle w:val="NormalWeb"/>
        <w:numPr>
          <w:ilvl w:val="0"/>
          <w:numId w:val="2"/>
        </w:num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Büntetlen előélet, cselekvőképesség, a pályázó ne álljon a foglalkozás gyakorlásától eltiltó jogerős ítélet hatálya alatt.</w:t>
      </w:r>
    </w:p>
    <w:p w:rsidR="00600493" w:rsidRDefault="00600493" w:rsidP="00D24CA3">
      <w:pPr>
        <w:pStyle w:val="NormalWeb"/>
        <w:numPr>
          <w:ilvl w:val="0"/>
          <w:numId w:val="2"/>
        </w:num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Vagyonnyilatkozat-tételi kötelezettség vállalása.</w:t>
      </w:r>
    </w:p>
    <w:p w:rsidR="00600493" w:rsidRDefault="00600493" w:rsidP="00D24CA3">
      <w:pPr>
        <w:pStyle w:val="Header"/>
        <w:tabs>
          <w:tab w:val="left" w:pos="284"/>
          <w:tab w:val="left" w:pos="3544"/>
        </w:tabs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Az elbírálás során előnyt jelenthet:</w:t>
      </w:r>
    </w:p>
    <w:p w:rsidR="00600493" w:rsidRDefault="00600493" w:rsidP="00D24CA3">
      <w:pPr>
        <w:pStyle w:val="Header"/>
        <w:tabs>
          <w:tab w:val="left" w:pos="284"/>
          <w:tab w:val="left" w:pos="3544"/>
        </w:tabs>
        <w:jc w:val="both"/>
        <w:rPr>
          <w:rFonts w:ascii="Garamond" w:hAnsi="Garamond"/>
          <w:b/>
          <w:bCs/>
          <w:szCs w:val="24"/>
        </w:rPr>
      </w:pP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magyarországi német nemzetiséghez való tartozás,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színház működtetési területen szerzett vezetői gyakorlat,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szakmai siker és profitorientált menedzsment szemlélet,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művészi munkáért megszerzett szakmai elismerés (díj, fesztivál díjazás),</w:t>
      </w:r>
    </w:p>
    <w:p w:rsidR="00600493" w:rsidRDefault="00600493" w:rsidP="00D24CA3">
      <w:pPr>
        <w:numPr>
          <w:ilvl w:val="0"/>
          <w:numId w:val="1"/>
        </w:numPr>
        <w:ind w:left="709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szCs w:val="24"/>
        </w:rPr>
        <w:t>színház üzemeltetésben szerzett szakmai tapasztalat.</w:t>
      </w:r>
    </w:p>
    <w:p w:rsidR="00600493" w:rsidRDefault="00600493" w:rsidP="00D24CA3">
      <w:pPr>
        <w:jc w:val="both"/>
        <w:rPr>
          <w:rFonts w:ascii="Garamond" w:hAnsi="Garamond"/>
          <w:szCs w:val="24"/>
        </w:rPr>
      </w:pPr>
    </w:p>
    <w:p w:rsidR="00600493" w:rsidRDefault="00600493" w:rsidP="00D24CA3">
      <w:pPr>
        <w:jc w:val="both"/>
        <w:rPr>
          <w:rFonts w:ascii="Garamond" w:hAnsi="Garamond"/>
          <w:szCs w:val="24"/>
        </w:rPr>
      </w:pPr>
    </w:p>
    <w:p w:rsidR="00600493" w:rsidRDefault="00600493" w:rsidP="00D24CA3">
      <w:pPr>
        <w:pStyle w:val="Header"/>
        <w:tabs>
          <w:tab w:val="left" w:pos="284"/>
          <w:tab w:val="left" w:pos="3544"/>
        </w:tabs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A pályázatnak tartalmaznia kell: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Magyarországi Németek Országos Önkormányzata Német Színháza irányítására, működtetésére, tevékenységének szervezésére és menedzselésére vonatkozó konkrét szakmai és vezetői programot,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művészeti munka szakmai koncepcióját,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pályázó szakmai önéletrajzát,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90 napnál nem régebbi hatósági erkölcsi bizonyítvány eredeti példányát,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iskolai végzettséget, szakképzettséget tanúsító okiratok hitelesített másolatát,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szakmai gyakorlatot bizonyító igazolást,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nyilatkozatot arról, hogy az Mt. 191. §-ában meghatározott összeférhetetlenségi ok nem áll fenn,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nyilatkozat a vagyonnyilatkozat-tételi kötelezettség vállalásáról,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nyilatkozat, hogy a pályázat keretében személyes adatainak kezeléséhez hozzájárul, és pályázatának tartalmát a véleményezési eljárásban résztvevők megismerhetik,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nyilatkozat, hogy a pályázatot az arra jogosult testületek nyilvános ülésükön tárgyalhatják-e,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nyilatkozatot arról, hogy a társulat előtt meghatározott időkeretben vállalja-e a bemutatkozást,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bérezésre és egyéb személyi juttatásokra vonatkozó igényét: havi személyi alapbér bruttó összege Ft-ban, egyéb személyi juttatások juttatási formánként éves szinten összesen bruttó forintban. </w:t>
      </w:r>
    </w:p>
    <w:p w:rsidR="00600493" w:rsidRDefault="00600493" w:rsidP="00D24CA3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pályázatokat magyar és német nyelven kell benyújtani.</w:t>
      </w:r>
    </w:p>
    <w:p w:rsidR="00600493" w:rsidRDefault="00600493" w:rsidP="00D24CA3">
      <w:pPr>
        <w:ind w:left="360"/>
        <w:jc w:val="both"/>
        <w:rPr>
          <w:rFonts w:ascii="Garamond" w:hAnsi="Garamond"/>
          <w:szCs w:val="24"/>
        </w:rPr>
      </w:pPr>
    </w:p>
    <w:p w:rsidR="00600493" w:rsidRDefault="00600493" w:rsidP="00D24CA3">
      <w:pPr>
        <w:pStyle w:val="Header"/>
        <w:tabs>
          <w:tab w:val="left" w:pos="3544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A pályázati felhívás közzététele:</w:t>
      </w:r>
      <w:r>
        <w:rPr>
          <w:rFonts w:ascii="Garamond" w:hAnsi="Garamond"/>
          <w:szCs w:val="24"/>
        </w:rPr>
        <w:t xml:space="preserve"> a Nemzeti Erőforrás Minisztérium (</w:t>
      </w:r>
      <w:hyperlink r:id="rId5" w:history="1">
        <w:r>
          <w:rPr>
            <w:rStyle w:val="Hyperlink"/>
            <w:rFonts w:ascii="Garamond" w:hAnsi="Garamond" w:cs="Calibri"/>
            <w:szCs w:val="24"/>
          </w:rPr>
          <w:t>www.kormany.hu</w:t>
        </w:r>
      </w:hyperlink>
      <w:r>
        <w:rPr>
          <w:rFonts w:ascii="Garamond" w:hAnsi="Garamond"/>
          <w:szCs w:val="24"/>
        </w:rPr>
        <w:t>) és Magyarországi Németek Országos Önkormányzata internetes honlapján (</w:t>
      </w:r>
      <w:hyperlink r:id="rId6" w:history="1">
        <w:r>
          <w:rPr>
            <w:rStyle w:val="Hyperlink"/>
            <w:rFonts w:ascii="Garamond" w:hAnsi="Garamond" w:cs="Calibri"/>
            <w:szCs w:val="24"/>
          </w:rPr>
          <w:t>www.ldu.hu</w:t>
        </w:r>
      </w:hyperlink>
      <w:r>
        <w:rPr>
          <w:rFonts w:ascii="Garamond" w:hAnsi="Garamond"/>
          <w:szCs w:val="24"/>
        </w:rPr>
        <w:t xml:space="preserve">) történik. </w:t>
      </w:r>
    </w:p>
    <w:p w:rsidR="00600493" w:rsidRDefault="00600493" w:rsidP="00D24CA3">
      <w:pPr>
        <w:rPr>
          <w:rFonts w:ascii="Garamond" w:hAnsi="Garamond"/>
          <w:szCs w:val="24"/>
        </w:rPr>
      </w:pPr>
    </w:p>
    <w:p w:rsidR="00600493" w:rsidRDefault="00600493" w:rsidP="00D24CA3">
      <w:pPr>
        <w:pStyle w:val="Header"/>
        <w:tabs>
          <w:tab w:val="left" w:pos="3544"/>
        </w:tabs>
        <w:ind w:hanging="426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ab/>
        <w:t>A pályázat benyújtásának határideje:</w:t>
      </w:r>
      <w:r>
        <w:rPr>
          <w:rFonts w:ascii="Garamond" w:hAnsi="Garamond"/>
          <w:szCs w:val="24"/>
        </w:rPr>
        <w:t xml:space="preserve"> a Nemzeti Erőforrás Minisztériumának honlapján történő közzététel napját követő 30. nap.</w:t>
      </w:r>
    </w:p>
    <w:p w:rsidR="00600493" w:rsidRDefault="00600493" w:rsidP="00D24CA3">
      <w:pPr>
        <w:pStyle w:val="Header"/>
        <w:tabs>
          <w:tab w:val="left" w:pos="284"/>
          <w:tab w:val="left" w:pos="3544"/>
        </w:tabs>
        <w:ind w:left="284"/>
        <w:jc w:val="both"/>
        <w:rPr>
          <w:rFonts w:ascii="Garamond" w:hAnsi="Garamond"/>
          <w:szCs w:val="24"/>
        </w:rPr>
      </w:pPr>
    </w:p>
    <w:p w:rsidR="00600493" w:rsidRDefault="00600493" w:rsidP="00D24CA3">
      <w:pPr>
        <w:pStyle w:val="Header"/>
        <w:tabs>
          <w:tab w:val="left" w:pos="284"/>
          <w:tab w:val="left" w:pos="3544"/>
        </w:tabs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A pályázat benyújtásának módja: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pályázatokat zárt borítékban </w:t>
      </w:r>
      <w:r>
        <w:rPr>
          <w:rFonts w:ascii="Garamond" w:hAnsi="Garamond"/>
          <w:i/>
          <w:iCs/>
          <w:szCs w:val="24"/>
        </w:rPr>
        <w:t xml:space="preserve">„Pályázat a </w:t>
      </w:r>
      <w:r>
        <w:rPr>
          <w:rFonts w:ascii="Garamond" w:hAnsi="Garamond"/>
          <w:i/>
          <w:szCs w:val="24"/>
        </w:rPr>
        <w:t xml:space="preserve">Magyarországi Németek Országos Önkormányzata Német Színháza </w:t>
      </w:r>
      <w:r>
        <w:rPr>
          <w:rFonts w:ascii="Garamond" w:hAnsi="Garamond"/>
          <w:i/>
          <w:iCs/>
          <w:szCs w:val="24"/>
        </w:rPr>
        <w:t>igazgatói munkakörére”</w:t>
      </w:r>
      <w:r>
        <w:rPr>
          <w:rFonts w:ascii="Garamond" w:hAnsi="Garamond"/>
          <w:szCs w:val="24"/>
        </w:rPr>
        <w:t xml:space="preserve"> megjelöléssel Magyarországi Németek Országos Önkormányzata elnökéhez lehet benyújtani személyesen vagy tértivevényes ajánlott postai küldeményként (Magyarországi Németek Országos Önkormányzata 1537 Budapest, Pf.: 348.). Postai küldemény esetén a postára adás napja legkésőbb a benyújtási határidő utolsó napja lehet. </w:t>
      </w:r>
    </w:p>
    <w:p w:rsidR="00600493" w:rsidRDefault="00600493" w:rsidP="00D24CA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Hiánypótlásnak helye nincs, a hiányosan, vagy késedelmesen benyújtott pályázatokat a pályáztató érvénytelennek nyilváníthatja annak érdemi elbírálása nélkül.</w:t>
      </w:r>
    </w:p>
    <w:p w:rsidR="00600493" w:rsidRDefault="00600493" w:rsidP="00D24CA3">
      <w:pPr>
        <w:ind w:left="720"/>
        <w:jc w:val="both"/>
        <w:rPr>
          <w:rFonts w:ascii="Garamond" w:hAnsi="Garamond"/>
          <w:szCs w:val="24"/>
        </w:rPr>
      </w:pPr>
    </w:p>
    <w:p w:rsidR="00600493" w:rsidRDefault="00600493" w:rsidP="00D24CA3">
      <w:pPr>
        <w:pStyle w:val="NormalWeb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Az elbírálás rendje:</w:t>
      </w:r>
    </w:p>
    <w:p w:rsidR="00600493" w:rsidRDefault="00600493" w:rsidP="00D24CA3">
      <w:pPr>
        <w:pStyle w:val="NormalWeb"/>
        <w:jc w:val="both"/>
        <w:rPr>
          <w:rFonts w:ascii="Garamond" w:hAnsi="Garamond"/>
        </w:rPr>
      </w:pPr>
      <w:r>
        <w:rPr>
          <w:rFonts w:ascii="Garamond" w:hAnsi="Garamond"/>
        </w:rPr>
        <w:t>A pályázatok véleményezésére az Emtv. 39. § (6) bekezdése alapján felkért szakmai bizottság és a döntésre javaslatot tevő Magyarországi Németek Országos Önkormányzata Kulturális Bizottsága a pályázatokat a benyújtási határidő lejártát követő 30. napon belül bírálják el. A testületek ülésükre az érvényesen pályázókat személyes meghallgatásra meghívják.</w:t>
      </w:r>
    </w:p>
    <w:p w:rsidR="00600493" w:rsidRDefault="00600493" w:rsidP="00D24CA3">
      <w:pPr>
        <w:pStyle w:val="NormalWeb"/>
        <w:jc w:val="both"/>
        <w:rPr>
          <w:rFonts w:ascii="Garamond" w:hAnsi="Garamond"/>
        </w:rPr>
      </w:pPr>
      <w:r>
        <w:rPr>
          <w:rFonts w:ascii="Garamond" w:hAnsi="Garamond"/>
        </w:rPr>
        <w:t>A pályázatokról, a Magyarországi Németek Országos Önkormányzata Német Színháza igazgatójának kinevezéséről Magyarországi Németek Országos Önkormányzata Közgyűlése a szakmai bizottság véleményezését követő első testületi ülésén dönt a Közgyűlés által felkért szakmai bizottság ajánlása és a Magyarországi Németek Országos Önkormányzata Kulturális Bizottsága állásfoglalásának ismeretében.</w:t>
      </w:r>
    </w:p>
    <w:p w:rsidR="00600493" w:rsidRDefault="00600493" w:rsidP="00D24CA3">
      <w:pPr>
        <w:pStyle w:val="NormalWeb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 kiírója fenntartja jogát a pályázati eljárás eredménytelennek nyilvánítására és a jogszabályi előírásoknak megfelelően 30 napon belül új pályázat kiírására. </w:t>
      </w:r>
    </w:p>
    <w:p w:rsidR="00600493" w:rsidRDefault="00600493" w:rsidP="00D24CA3">
      <w:pPr>
        <w:pStyle w:val="NormalWeb"/>
        <w:jc w:val="both"/>
        <w:rPr>
          <w:rFonts w:ascii="Garamond" w:hAnsi="Garamond"/>
        </w:rPr>
      </w:pPr>
      <w:r>
        <w:rPr>
          <w:rFonts w:ascii="Garamond" w:hAnsi="Garamond"/>
        </w:rPr>
        <w:t>A nem nyertes pályázatokat az Emtv. 39. § (12) bekezdése alapján a döntést követően a pályázat kiírója visszajuttatja.</w:t>
      </w:r>
    </w:p>
    <w:p w:rsidR="00600493" w:rsidRDefault="00600493" w:rsidP="00D24CA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pályázattal kapcsolatban további tájékoztatást Heinek Ottó a Magyarországi Németek Országos Önkormányzata elnöke nyújt a 06-1-212-9151-es telefonszámon.</w:t>
      </w:r>
    </w:p>
    <w:p w:rsidR="00600493" w:rsidRDefault="00600493" w:rsidP="00D24CA3">
      <w:pPr>
        <w:pStyle w:val="BodyText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pályázat kiírója a pályázóknak igény szerint azonos tartalmú tájékoztató dokumentációt biztosít (alapító okirat, szervezeti és működési szabályzat, költségvetési előirányzatok és teljesítési adatok, előadásszámok, látogatottság, létszám, technikai és műszaki adatok).</w:t>
      </w:r>
    </w:p>
    <w:p w:rsidR="00600493" w:rsidRDefault="00600493" w:rsidP="00D24CA3"/>
    <w:p w:rsidR="00600493" w:rsidRDefault="00600493">
      <w:bookmarkStart w:id="0" w:name="_GoBack"/>
      <w:bookmarkEnd w:id="0"/>
    </w:p>
    <w:sectPr w:rsidR="00600493" w:rsidSect="00B6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817"/>
    <w:multiLevelType w:val="hybridMultilevel"/>
    <w:tmpl w:val="97F054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671DE"/>
    <w:multiLevelType w:val="hybridMultilevel"/>
    <w:tmpl w:val="1AEA0C34"/>
    <w:lvl w:ilvl="0" w:tplc="B8006478">
      <w:start w:val="1"/>
      <w:numFmt w:val="bullet"/>
      <w:lvlText w:val=""/>
      <w:lvlJc w:val="left"/>
      <w:pPr>
        <w:ind w:left="194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2">
    <w:nsid w:val="71B45C24"/>
    <w:multiLevelType w:val="hybridMultilevel"/>
    <w:tmpl w:val="5B400D0C"/>
    <w:lvl w:ilvl="0" w:tplc="040E000F">
      <w:start w:val="1"/>
      <w:numFmt w:val="decimal"/>
      <w:lvlText w:val="%1."/>
      <w:lvlJc w:val="left"/>
      <w:pPr>
        <w:ind w:left="194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66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38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410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82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54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26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98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707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CA3"/>
    <w:rsid w:val="002F1FCA"/>
    <w:rsid w:val="004464A6"/>
    <w:rsid w:val="005C105B"/>
    <w:rsid w:val="00600493"/>
    <w:rsid w:val="00B6230F"/>
    <w:rsid w:val="00BE640D"/>
    <w:rsid w:val="00C7025D"/>
    <w:rsid w:val="00D24CA3"/>
    <w:rsid w:val="00D25F40"/>
    <w:rsid w:val="00E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A3"/>
    <w:rPr>
      <w:rFonts w:ascii="Arial Narrow" w:hAnsi="Arial Narrow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24C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24CA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Header">
    <w:name w:val="header"/>
    <w:basedOn w:val="Normal"/>
    <w:link w:val="HeaderChar"/>
    <w:uiPriority w:val="99"/>
    <w:rsid w:val="00D24C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CA3"/>
    <w:rPr>
      <w:rFonts w:ascii="Arial Narrow" w:eastAsia="Times New Roman" w:hAnsi="Arial Narrow" w:cs="Calibri"/>
      <w:sz w:val="24"/>
    </w:rPr>
  </w:style>
  <w:style w:type="paragraph" w:styleId="BodyText">
    <w:name w:val="Body Text"/>
    <w:basedOn w:val="Normal"/>
    <w:link w:val="BodyTextChar"/>
    <w:uiPriority w:val="99"/>
    <w:semiHidden/>
    <w:rsid w:val="00D24CA3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4CA3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u.hu" TargetMode="External"/><Relationship Id="rId5" Type="http://schemas.openxmlformats.org/officeDocument/2006/relationships/hyperlink" Target="http://www.korm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1204</Words>
  <Characters>8310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EDINA</dc:creator>
  <cp:keywords/>
  <dc:description/>
  <cp:lastModifiedBy>lauani</cp:lastModifiedBy>
  <cp:revision>2</cp:revision>
  <dcterms:created xsi:type="dcterms:W3CDTF">2012-05-17T13:09:00Z</dcterms:created>
  <dcterms:modified xsi:type="dcterms:W3CDTF">2012-05-17T13:09:00Z</dcterms:modified>
</cp:coreProperties>
</file>