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2A" w:rsidRDefault="00D50354" w:rsidP="00C31B2A">
      <w:pPr>
        <w:autoSpaceDE w:val="0"/>
        <w:autoSpaceDN w:val="0"/>
        <w:adjustRightInd w:val="0"/>
        <w:spacing w:line="340" w:lineRule="atLeast"/>
        <w:ind w:firstLine="540"/>
        <w:jc w:val="both"/>
      </w:pPr>
      <w:r>
        <w:t>Az előterjesztés a törvényi szabályoknak megfelelően megállapítja a nyugdíj-megállapításhoz szükséges valorizációs szorzószámokat.</w:t>
      </w:r>
    </w:p>
    <w:p w:rsidR="00D50354" w:rsidRDefault="00D50354" w:rsidP="00C31B2A">
      <w:pPr>
        <w:autoSpaceDE w:val="0"/>
        <w:autoSpaceDN w:val="0"/>
        <w:adjustRightInd w:val="0"/>
        <w:spacing w:line="340" w:lineRule="atLeast"/>
        <w:ind w:firstLine="540"/>
        <w:jc w:val="both"/>
      </w:pPr>
    </w:p>
    <w:p w:rsidR="00D50354" w:rsidRDefault="00D50354" w:rsidP="00C31B2A">
      <w:pPr>
        <w:autoSpaceDE w:val="0"/>
        <w:autoSpaceDN w:val="0"/>
        <w:adjustRightInd w:val="0"/>
        <w:spacing w:line="340" w:lineRule="atLeast"/>
        <w:ind w:firstLine="540"/>
        <w:jc w:val="both"/>
      </w:pPr>
      <w:r>
        <w:t xml:space="preserve">A </w:t>
      </w:r>
      <w:r w:rsidRPr="005F5CD1">
        <w:t>Nyugdíjnyilvántartó és Informatikai Igazgatóság</w:t>
      </w:r>
      <w:r>
        <w:t xml:space="preserve"> nyugdíj-megállapítási hatáskörét május 1-jétől a Nyugdíjfolyósító Igazgatóság veszi át.</w:t>
      </w:r>
    </w:p>
    <w:p w:rsidR="00D50354" w:rsidRDefault="00D50354" w:rsidP="00C31B2A">
      <w:pPr>
        <w:autoSpaceDE w:val="0"/>
        <w:autoSpaceDN w:val="0"/>
        <w:adjustRightInd w:val="0"/>
        <w:spacing w:line="340" w:lineRule="atLeast"/>
        <w:ind w:firstLine="540"/>
        <w:jc w:val="both"/>
      </w:pPr>
    </w:p>
    <w:p w:rsidR="00D50354" w:rsidRDefault="00D50354" w:rsidP="00C31B2A">
      <w:pPr>
        <w:autoSpaceDE w:val="0"/>
        <w:autoSpaceDN w:val="0"/>
        <w:adjustRightInd w:val="0"/>
        <w:spacing w:line="340" w:lineRule="atLeast"/>
        <w:ind w:firstLine="540"/>
        <w:jc w:val="both"/>
      </w:pPr>
      <w:r>
        <w:t xml:space="preserve">A korábban a </w:t>
      </w:r>
      <w:r w:rsidRPr="005F5CD1">
        <w:t xml:space="preserve">Magyar Alkotóművészeti </w:t>
      </w:r>
      <w:r w:rsidRPr="005F5CD1">
        <w:rPr>
          <w:rFonts w:eastAsia="Calibri"/>
        </w:rPr>
        <w:t>Közalapítvány</w:t>
      </w:r>
      <w:r>
        <w:t xml:space="preserve"> által biztosított özvegyi ellátás (nyugdíjsegély) jogosultsági köre bővül.</w:t>
      </w:r>
    </w:p>
    <w:p w:rsidR="00D50354" w:rsidRDefault="00D50354" w:rsidP="00C31B2A">
      <w:pPr>
        <w:autoSpaceDE w:val="0"/>
        <w:autoSpaceDN w:val="0"/>
        <w:adjustRightInd w:val="0"/>
        <w:spacing w:line="340" w:lineRule="atLeast"/>
        <w:ind w:firstLine="540"/>
        <w:jc w:val="both"/>
      </w:pPr>
    </w:p>
    <w:p w:rsidR="00D50354" w:rsidRPr="005F5CD1" w:rsidRDefault="00D50354" w:rsidP="00C31B2A">
      <w:pPr>
        <w:autoSpaceDE w:val="0"/>
        <w:autoSpaceDN w:val="0"/>
        <w:adjustRightInd w:val="0"/>
        <w:spacing w:line="340" w:lineRule="atLeast"/>
        <w:ind w:firstLine="540"/>
        <w:jc w:val="both"/>
      </w:pPr>
      <w:r>
        <w:t>A korábban korengedményes nyugdíjban, januártól korhatár előtti ellátásban részesülő, visszafoglalkoztatási tilalom hatálya alá eső személyek esetén a tervezet előírja a foglalkoztatók nyilatkozattételi kötelezettségét, egyúttal arra is lehetőséget teremt, hogy a féléves határidő alatt az érintettek alkalmazkodjanak az új</w:t>
      </w:r>
      <w:r w:rsidR="002836DC">
        <w:t xml:space="preserve"> szabályokhoz.</w:t>
      </w:r>
    </w:p>
    <w:p w:rsidR="00151B05" w:rsidRPr="005F5CD1" w:rsidRDefault="00151B05" w:rsidP="00BE38DB">
      <w:pPr>
        <w:pageBreakBefore/>
        <w:jc w:val="right"/>
        <w:rPr>
          <w:i/>
        </w:rPr>
      </w:pPr>
    </w:p>
    <w:p w:rsidR="00143A8C" w:rsidRPr="005F5CD1" w:rsidRDefault="00143A8C" w:rsidP="00151B05">
      <w:pPr>
        <w:jc w:val="center"/>
        <w:rPr>
          <w:b/>
        </w:rPr>
      </w:pPr>
    </w:p>
    <w:p w:rsidR="00DC7A74" w:rsidRPr="005F5CD1" w:rsidRDefault="005D3DE4" w:rsidP="00151B05">
      <w:pPr>
        <w:jc w:val="center"/>
        <w:rPr>
          <w:b/>
        </w:rPr>
      </w:pPr>
      <w:r w:rsidRPr="005F5CD1">
        <w:rPr>
          <w:b/>
        </w:rPr>
        <w:t>A Kormány</w:t>
      </w:r>
      <w:r w:rsidRPr="005F5CD1">
        <w:rPr>
          <w:b/>
        </w:rPr>
        <w:cr/>
      </w:r>
      <w:r w:rsidRPr="005F5CD1">
        <w:rPr>
          <w:b/>
        </w:rPr>
        <w:cr/>
        <w:t>…/201</w:t>
      </w:r>
      <w:r w:rsidR="00E415BD" w:rsidRPr="005F5CD1">
        <w:rPr>
          <w:b/>
        </w:rPr>
        <w:t>2</w:t>
      </w:r>
      <w:r w:rsidRPr="005F5CD1">
        <w:rPr>
          <w:b/>
        </w:rPr>
        <w:t>. (… …</w:t>
      </w:r>
      <w:r w:rsidR="00614537" w:rsidRPr="005F5CD1">
        <w:rPr>
          <w:b/>
        </w:rPr>
        <w:t>) Korm.</w:t>
      </w:r>
    </w:p>
    <w:p w:rsidR="00BF657E" w:rsidRPr="005F5CD1" w:rsidRDefault="00614537" w:rsidP="00151B05">
      <w:pPr>
        <w:jc w:val="center"/>
        <w:rPr>
          <w:rFonts w:ascii="Times New Roman félkövér" w:hAnsi="Times New Roman félkövér"/>
          <w:b/>
          <w:spacing w:val="80"/>
        </w:rPr>
      </w:pPr>
      <w:r w:rsidRPr="005F5CD1">
        <w:rPr>
          <w:b/>
          <w:spacing w:val="30"/>
        </w:rPr>
        <w:cr/>
      </w:r>
      <w:proofErr w:type="gramStart"/>
      <w:r w:rsidR="00E415BD" w:rsidRPr="005F5CD1">
        <w:rPr>
          <w:b/>
          <w:spacing w:val="30"/>
        </w:rPr>
        <w:t>rendelete</w:t>
      </w:r>
      <w:proofErr w:type="gramEnd"/>
      <w:r w:rsidRPr="005F5CD1">
        <w:rPr>
          <w:rFonts w:ascii="Times New Roman félkövér" w:hAnsi="Times New Roman félkövér"/>
          <w:b/>
          <w:spacing w:val="80"/>
        </w:rPr>
        <w:cr/>
      </w:r>
    </w:p>
    <w:p w:rsidR="00375084" w:rsidRPr="005F5CD1" w:rsidRDefault="00B13C4D" w:rsidP="00375084">
      <w:pPr>
        <w:jc w:val="center"/>
        <w:rPr>
          <w:b/>
          <w:bCs/>
        </w:rPr>
      </w:pPr>
      <w:proofErr w:type="gramStart"/>
      <w:r>
        <w:rPr>
          <w:b/>
          <w:bCs/>
        </w:rPr>
        <w:t>egyes</w:t>
      </w:r>
      <w:proofErr w:type="gramEnd"/>
      <w:r>
        <w:rPr>
          <w:b/>
          <w:bCs/>
        </w:rPr>
        <w:t xml:space="preserve"> nyugdíjbiztosítási</w:t>
      </w:r>
      <w:r w:rsidR="008C7F6B" w:rsidRPr="005F5CD1">
        <w:rPr>
          <w:b/>
          <w:bCs/>
        </w:rPr>
        <w:t xml:space="preserve"> és</w:t>
      </w:r>
      <w:r w:rsidR="009036CE" w:rsidRPr="005F5CD1">
        <w:rPr>
          <w:b/>
          <w:bCs/>
        </w:rPr>
        <w:t xml:space="preserve"> szociális tárgyú </w:t>
      </w:r>
      <w:r w:rsidR="008C7F6B" w:rsidRPr="005F5CD1">
        <w:rPr>
          <w:b/>
          <w:bCs/>
        </w:rPr>
        <w:t>kormányrendeletek módosításáról</w:t>
      </w:r>
    </w:p>
    <w:p w:rsidR="008C7F6B" w:rsidRPr="005F5CD1" w:rsidRDefault="008C7F6B" w:rsidP="008C7F6B">
      <w:pPr>
        <w:tabs>
          <w:tab w:val="left" w:pos="540"/>
          <w:tab w:val="left" w:pos="567"/>
        </w:tabs>
        <w:spacing w:before="240"/>
        <w:ind w:firstLine="567"/>
        <w:jc w:val="both"/>
      </w:pPr>
      <w:r w:rsidRPr="005F5CD1">
        <w:t>A Kormány</w:t>
      </w:r>
    </w:p>
    <w:p w:rsidR="008C7F6B" w:rsidRPr="005F5CD1" w:rsidRDefault="008C7F6B" w:rsidP="008C7F6B">
      <w:pPr>
        <w:tabs>
          <w:tab w:val="left" w:pos="540"/>
          <w:tab w:val="left" w:pos="567"/>
        </w:tabs>
        <w:spacing w:before="240"/>
        <w:ind w:firstLine="567"/>
        <w:jc w:val="both"/>
      </w:pPr>
      <w:proofErr w:type="gramStart"/>
      <w:r w:rsidRPr="005F5CD1">
        <w:t>a</w:t>
      </w:r>
      <w:proofErr w:type="gramEnd"/>
      <w:r w:rsidRPr="005F5CD1">
        <w:t xml:space="preserve"> társadalombiztosítási nyugellátásról szóló 1997. évi LXXXI. törvény 101. § (1) bekezdés </w:t>
      </w:r>
      <w:r w:rsidRPr="005F5CD1">
        <w:rPr>
          <w:i/>
        </w:rPr>
        <w:t>a)</w:t>
      </w:r>
      <w:r w:rsidRPr="005F5CD1">
        <w:t xml:space="preserve">, </w:t>
      </w:r>
      <w:r w:rsidRPr="005F5CD1">
        <w:rPr>
          <w:i/>
        </w:rPr>
        <w:t>c)</w:t>
      </w:r>
      <w:r w:rsidRPr="005F5CD1">
        <w:t xml:space="preserve">, </w:t>
      </w:r>
      <w:r w:rsidRPr="005F5CD1">
        <w:rPr>
          <w:i/>
        </w:rPr>
        <w:t>h)</w:t>
      </w:r>
      <w:r w:rsidR="00186FF7" w:rsidRPr="005F5CD1">
        <w:t xml:space="preserve"> és</w:t>
      </w:r>
      <w:r w:rsidRPr="005F5CD1">
        <w:t xml:space="preserve"> </w:t>
      </w:r>
      <w:r w:rsidRPr="005F5CD1">
        <w:rPr>
          <w:i/>
        </w:rPr>
        <w:t>i)</w:t>
      </w:r>
      <w:r w:rsidRPr="005F5CD1">
        <w:t xml:space="preserve"> pontjában,</w:t>
      </w:r>
    </w:p>
    <w:p w:rsidR="009D269C" w:rsidRPr="005F5CD1" w:rsidRDefault="009D269C" w:rsidP="008C7F6B">
      <w:pPr>
        <w:tabs>
          <w:tab w:val="left" w:pos="540"/>
          <w:tab w:val="left" w:pos="567"/>
        </w:tabs>
        <w:spacing w:before="240"/>
        <w:ind w:firstLine="567"/>
        <w:jc w:val="both"/>
      </w:pPr>
      <w:proofErr w:type="gramStart"/>
      <w:r w:rsidRPr="005F5CD1">
        <w:t>a</w:t>
      </w:r>
      <w:proofErr w:type="gramEnd"/>
      <w:r w:rsidRPr="005F5CD1">
        <w:t xml:space="preserve"> 2. alcím tekintetében a társadalombiztosítás ellátásaira és a magánnyugdíjra jogosultakról, valamint e szolgáltatások fedezetéről szóló 1997. évi LXXX. törvény 58. § (2) bekezdésében,</w:t>
      </w:r>
    </w:p>
    <w:p w:rsidR="009036CE" w:rsidRPr="005F5CD1" w:rsidRDefault="009036CE" w:rsidP="009D269C">
      <w:pPr>
        <w:tabs>
          <w:tab w:val="left" w:pos="540"/>
          <w:tab w:val="left" w:pos="567"/>
        </w:tabs>
        <w:spacing w:before="240"/>
        <w:ind w:firstLine="567"/>
        <w:jc w:val="both"/>
      </w:pPr>
      <w:proofErr w:type="gramStart"/>
      <w:r w:rsidRPr="005F5CD1">
        <w:t>a</w:t>
      </w:r>
      <w:proofErr w:type="gramEnd"/>
      <w:r w:rsidRPr="005F5CD1">
        <w:t xml:space="preserve"> 3. alcím tekintetében a szociális igazgatásról és szociális ellátásokról szóló 1993. évi III. törvény 132. § (1) bekezdés </w:t>
      </w:r>
      <w:r w:rsidRPr="005F5CD1">
        <w:rPr>
          <w:i/>
        </w:rPr>
        <w:t>m)</w:t>
      </w:r>
      <w:r w:rsidRPr="005F5CD1">
        <w:t xml:space="preserve"> pontjában,</w:t>
      </w:r>
    </w:p>
    <w:p w:rsidR="009036CE" w:rsidRPr="005F5CD1" w:rsidRDefault="009036CE" w:rsidP="009D269C">
      <w:pPr>
        <w:tabs>
          <w:tab w:val="left" w:pos="540"/>
          <w:tab w:val="left" w:pos="567"/>
        </w:tabs>
        <w:spacing w:before="240"/>
        <w:ind w:firstLine="567"/>
        <w:jc w:val="both"/>
      </w:pPr>
      <w:proofErr w:type="gramStart"/>
      <w:r w:rsidRPr="005F5CD1">
        <w:t>a</w:t>
      </w:r>
      <w:proofErr w:type="gramEnd"/>
      <w:r w:rsidRPr="005F5CD1">
        <w:t xml:space="preserve"> 4. alcím tekintetében a szociális igazgatásról és szociális ellátásokról szóló 1993. évi III. törvény 132. § (1) bekezdés </w:t>
      </w:r>
      <w:r w:rsidRPr="005F5CD1">
        <w:rPr>
          <w:i/>
        </w:rPr>
        <w:t>p)</w:t>
      </w:r>
      <w:r w:rsidRPr="005F5CD1">
        <w:t xml:space="preserve"> pontjában,</w:t>
      </w:r>
    </w:p>
    <w:p w:rsidR="009D269C" w:rsidRPr="005F5CD1" w:rsidRDefault="009D269C" w:rsidP="009D269C">
      <w:pPr>
        <w:tabs>
          <w:tab w:val="left" w:pos="540"/>
          <w:tab w:val="left" w:pos="567"/>
        </w:tabs>
        <w:spacing w:before="240"/>
        <w:ind w:firstLine="567"/>
        <w:jc w:val="both"/>
      </w:pPr>
      <w:proofErr w:type="gramStart"/>
      <w:r w:rsidRPr="005F5CD1">
        <w:t>a</w:t>
      </w:r>
      <w:proofErr w:type="gramEnd"/>
      <w:r w:rsidRPr="005F5CD1">
        <w:t xml:space="preserve"> </w:t>
      </w:r>
      <w:r w:rsidR="00650240" w:rsidRPr="005F5CD1">
        <w:t>7</w:t>
      </w:r>
      <w:r w:rsidRPr="005F5CD1">
        <w:t xml:space="preserve">. alcím tekintetében a megváltozott munkaképességű személyek ellátásairól és egyes törvények módosításáról szóló 2011. évi CXCI. törvény 28. § (1) bekezdés </w:t>
      </w:r>
      <w:r w:rsidRPr="005F5CD1">
        <w:rPr>
          <w:i/>
        </w:rPr>
        <w:t>a)</w:t>
      </w:r>
      <w:r w:rsidRPr="005F5CD1">
        <w:t xml:space="preserve"> pontjában,</w:t>
      </w:r>
    </w:p>
    <w:p w:rsidR="00DA737E" w:rsidRPr="005F5CD1" w:rsidRDefault="00144CF0" w:rsidP="008C7F6B">
      <w:pPr>
        <w:tabs>
          <w:tab w:val="left" w:pos="540"/>
          <w:tab w:val="left" w:pos="567"/>
        </w:tabs>
        <w:spacing w:before="240"/>
        <w:ind w:firstLine="567"/>
        <w:jc w:val="both"/>
      </w:pPr>
      <w:proofErr w:type="gramStart"/>
      <w:r w:rsidRPr="005F5CD1">
        <w:t>a</w:t>
      </w:r>
      <w:proofErr w:type="gramEnd"/>
      <w:r w:rsidRPr="005F5CD1">
        <w:t xml:space="preserve"> </w:t>
      </w:r>
      <w:r w:rsidR="00650240" w:rsidRPr="005F5CD1">
        <w:t>8</w:t>
      </w:r>
      <w:r w:rsidRPr="005F5CD1">
        <w:t>. alcím tekintetében a korhatár előtti öregségi nyugdíjak megszüntetéséről, a korhatár előtti ellátásról és a szolgálati járandóságról szóló 2011. évi CLXVII. törvény 22. §</w:t>
      </w:r>
      <w:proofErr w:type="spellStart"/>
      <w:r w:rsidRPr="005F5CD1">
        <w:t>-ában</w:t>
      </w:r>
      <w:proofErr w:type="spellEnd"/>
      <w:r w:rsidRPr="005F5CD1">
        <w:t>, a bányászatról szóló 1993. évi XLVIII. törvény 50/</w:t>
      </w:r>
      <w:proofErr w:type="gramStart"/>
      <w:r w:rsidRPr="005F5CD1">
        <w:t>A</w:t>
      </w:r>
      <w:proofErr w:type="gramEnd"/>
      <w:r w:rsidRPr="005F5CD1">
        <w:t xml:space="preserve">. § (1) bekezdés </w:t>
      </w:r>
      <w:r w:rsidRPr="005F5CD1">
        <w:rPr>
          <w:i/>
        </w:rPr>
        <w:t>v)</w:t>
      </w:r>
      <w:r w:rsidRPr="005F5CD1">
        <w:t xml:space="preserve"> pontjában, valamint az előadó-művészeti szervezetek támogatásáról és sajátos foglalkoztatási szabályairól szóló 2008. évi XCIX. törvény 47. § (1) bekezdés </w:t>
      </w:r>
      <w:r w:rsidRPr="005F5CD1">
        <w:rPr>
          <w:i/>
        </w:rPr>
        <w:t>c)</w:t>
      </w:r>
      <w:r w:rsidR="004443E4" w:rsidRPr="005F5CD1">
        <w:t xml:space="preserve"> pontjában</w:t>
      </w:r>
      <w:r w:rsidR="004733DB" w:rsidRPr="005F5CD1">
        <w:t>,</w:t>
      </w:r>
    </w:p>
    <w:p w:rsidR="004733DB" w:rsidRPr="005F5CD1" w:rsidRDefault="004733DB" w:rsidP="008C7F6B">
      <w:pPr>
        <w:tabs>
          <w:tab w:val="left" w:pos="540"/>
          <w:tab w:val="left" w:pos="567"/>
        </w:tabs>
        <w:spacing w:before="240"/>
        <w:ind w:firstLine="567"/>
        <w:jc w:val="both"/>
      </w:pPr>
      <w:proofErr w:type="gramStart"/>
      <w:r w:rsidRPr="005F5CD1">
        <w:t>a</w:t>
      </w:r>
      <w:proofErr w:type="gramEnd"/>
      <w:r w:rsidRPr="005F5CD1">
        <w:t xml:space="preserve"> </w:t>
      </w:r>
      <w:r w:rsidR="00650240" w:rsidRPr="005F5CD1">
        <w:t>9</w:t>
      </w:r>
      <w:r w:rsidRPr="005F5CD1">
        <w:t xml:space="preserve">. alcím tekintetében a Magyarország 2012. évi központi költségvetéséről szóló 2011. évi CLXXXVIII. törvény 78. § (1) bekezdés </w:t>
      </w:r>
      <w:r w:rsidRPr="005F5CD1">
        <w:rPr>
          <w:i/>
        </w:rPr>
        <w:t>a)</w:t>
      </w:r>
      <w:r w:rsidRPr="005F5CD1">
        <w:t xml:space="preserve"> pontjában</w:t>
      </w:r>
    </w:p>
    <w:p w:rsidR="00144CF0" w:rsidRPr="005F5CD1" w:rsidRDefault="00144CF0" w:rsidP="00144CF0">
      <w:pPr>
        <w:pStyle w:val="Lezr"/>
        <w:spacing w:before="240"/>
      </w:pPr>
      <w:proofErr w:type="gramStart"/>
      <w:r w:rsidRPr="005F5CD1">
        <w:t>kapott</w:t>
      </w:r>
      <w:proofErr w:type="gramEnd"/>
      <w:r w:rsidRPr="005F5CD1">
        <w:t xml:space="preserve"> felhatalmazás alapján, az Alaptörvény 15. cikk (3) bekezdésében meghatározott feladatkörében,</w:t>
      </w:r>
    </w:p>
    <w:p w:rsidR="008C7F6B" w:rsidRPr="005F5CD1" w:rsidRDefault="008C7F6B" w:rsidP="008C7F6B">
      <w:pPr>
        <w:tabs>
          <w:tab w:val="left" w:pos="540"/>
          <w:tab w:val="left" w:pos="567"/>
        </w:tabs>
        <w:spacing w:before="240"/>
        <w:ind w:firstLine="567"/>
        <w:jc w:val="both"/>
      </w:pPr>
      <w:proofErr w:type="gramStart"/>
      <w:r w:rsidRPr="005F5CD1">
        <w:t>a</w:t>
      </w:r>
      <w:r w:rsidR="009036CE" w:rsidRPr="005F5CD1">
        <w:t>z</w:t>
      </w:r>
      <w:proofErr w:type="gramEnd"/>
      <w:r w:rsidRPr="005F5CD1">
        <w:t xml:space="preserve"> </w:t>
      </w:r>
      <w:r w:rsidR="009036CE" w:rsidRPr="005F5CD1">
        <w:t>5</w:t>
      </w:r>
      <w:r w:rsidRPr="005F5CD1">
        <w:t>.</w:t>
      </w:r>
      <w:r w:rsidR="00650240" w:rsidRPr="005F5CD1">
        <w:t xml:space="preserve"> és 6.</w:t>
      </w:r>
      <w:r w:rsidRPr="005F5CD1">
        <w:t xml:space="preserve"> alcím tekintetében az Alaptörvény 15. cikk (3) bekezdésében megállapított </w:t>
      </w:r>
      <w:r w:rsidR="009D269C" w:rsidRPr="005F5CD1">
        <w:t>eredeti jogalkotói hatáskörében</w:t>
      </w:r>
    </w:p>
    <w:p w:rsidR="008C7F6B" w:rsidRPr="005F5CD1" w:rsidRDefault="008C7F6B" w:rsidP="008C7F6B">
      <w:pPr>
        <w:tabs>
          <w:tab w:val="left" w:pos="540"/>
          <w:tab w:val="left" w:pos="567"/>
        </w:tabs>
        <w:spacing w:before="240"/>
        <w:jc w:val="both"/>
        <w:rPr>
          <w:lang w:eastAsia="en-US"/>
        </w:rPr>
      </w:pPr>
      <w:proofErr w:type="gramStart"/>
      <w:r w:rsidRPr="005F5CD1">
        <w:rPr>
          <w:lang w:eastAsia="en-US"/>
        </w:rPr>
        <w:t>a</w:t>
      </w:r>
      <w:proofErr w:type="gramEnd"/>
      <w:r w:rsidRPr="005F5CD1">
        <w:rPr>
          <w:lang w:eastAsia="en-US"/>
        </w:rPr>
        <w:t xml:space="preserve"> következőket rendeli el:</w:t>
      </w:r>
    </w:p>
    <w:p w:rsidR="00DA737E" w:rsidRPr="005F5CD1" w:rsidRDefault="00DA737E" w:rsidP="00DA737E">
      <w:pPr>
        <w:pStyle w:val="Alcmjsz"/>
        <w:rPr>
          <w:rFonts w:eastAsia="Calibri"/>
        </w:rPr>
      </w:pPr>
      <w:bookmarkStart w:id="0" w:name="_Ref310927731"/>
      <w:r w:rsidRPr="005F5CD1">
        <w:rPr>
          <w:rFonts w:eastAsia="Calibri"/>
        </w:rPr>
        <w:t>A társadalombiztosítási nyugellátásról szóló 1997. évi LXXXI. törvény végrehajtásáról szóló 168/1997. (X. 6.) Korm. rendelet módosítása</w:t>
      </w:r>
      <w:bookmarkEnd w:id="0"/>
    </w:p>
    <w:p w:rsidR="00DA737E" w:rsidRPr="005F5CD1" w:rsidRDefault="00DA737E" w:rsidP="00DA737E">
      <w:pPr>
        <w:pStyle w:val="Paragrafus"/>
        <w:rPr>
          <w:rFonts w:eastAsia="Calibri"/>
        </w:rPr>
      </w:pPr>
      <w:bookmarkStart w:id="1" w:name="_Ref318116993"/>
      <w:r w:rsidRPr="005F5CD1">
        <w:rPr>
          <w:rFonts w:eastAsia="Calibri"/>
        </w:rPr>
        <w:t>§</w:t>
      </w:r>
      <w:bookmarkEnd w:id="1"/>
    </w:p>
    <w:p w:rsidR="00DA737E" w:rsidRPr="005F5CD1" w:rsidRDefault="00DA737E" w:rsidP="00DA737E">
      <w:pPr>
        <w:pStyle w:val="Bek2"/>
        <w:rPr>
          <w:rFonts w:eastAsia="Calibri"/>
        </w:rPr>
      </w:pPr>
      <w:r w:rsidRPr="005F5CD1">
        <w:rPr>
          <w:rFonts w:eastAsia="Calibri"/>
        </w:rPr>
        <w:t xml:space="preserve">A társadalombiztosítási nyugellátásról szóló 1997. évi LXXXI. törvény végrehajtásáról szóló 168/1997. (X. 6.) Korm. rendelet (a továbbiakban: </w:t>
      </w:r>
      <w:proofErr w:type="spellStart"/>
      <w:r w:rsidRPr="005F5CD1">
        <w:rPr>
          <w:rFonts w:eastAsia="Calibri"/>
        </w:rPr>
        <w:t>TnyR</w:t>
      </w:r>
      <w:proofErr w:type="spellEnd"/>
      <w:r w:rsidRPr="005F5CD1">
        <w:rPr>
          <w:rFonts w:eastAsia="Calibri"/>
        </w:rPr>
        <w:t>.) 1. §</w:t>
      </w:r>
      <w:proofErr w:type="spellStart"/>
      <w:r w:rsidRPr="005F5CD1">
        <w:rPr>
          <w:rFonts w:eastAsia="Calibri"/>
        </w:rPr>
        <w:t>-a</w:t>
      </w:r>
      <w:proofErr w:type="spellEnd"/>
      <w:r w:rsidRPr="005F5CD1">
        <w:rPr>
          <w:rFonts w:eastAsia="Calibri"/>
        </w:rPr>
        <w:t xml:space="preserve"> helyébe a következő rendelkezés lép:</w:t>
      </w:r>
    </w:p>
    <w:p w:rsidR="00DA737E" w:rsidRPr="005F5CD1" w:rsidRDefault="00DA737E" w:rsidP="00DA737E">
      <w:pPr>
        <w:pStyle w:val="Bek2"/>
        <w:rPr>
          <w:rFonts w:eastAsia="Calibri"/>
        </w:rPr>
      </w:pPr>
      <w:r w:rsidRPr="005F5CD1">
        <w:rPr>
          <w:rFonts w:eastAsia="Calibri"/>
        </w:rPr>
        <w:lastRenderedPageBreak/>
        <w:t xml:space="preserve">„1. § (1) A társadalombiztosítási nyugellátások, valamint a nyugdíjbiztosítási igazgatási szervek feladat- és hatáskörébe tartozó egyéb ellátások megállapításával kapcsolatos hatósági ügyekben – </w:t>
      </w:r>
      <w:r w:rsidRPr="005F5CD1">
        <w:t xml:space="preserve">a (2) bekezdésben vagy más </w:t>
      </w:r>
      <w:r w:rsidRPr="005F5CD1">
        <w:rPr>
          <w:rFonts w:eastAsia="Calibri"/>
        </w:rPr>
        <w:t>jogszabályban</w:t>
      </w:r>
      <w:r w:rsidRPr="005F5CD1">
        <w:t xml:space="preserve"> foglalt kivételekkel – </w:t>
      </w:r>
      <w:r w:rsidRPr="005F5CD1">
        <w:rPr>
          <w:rFonts w:eastAsia="Calibri"/>
        </w:rPr>
        <w:t>első fokon az igénylő lakóhelye, illetve a foglalkoztató vagy egyéb szerv székhelye (telephelye) szerint illetékes nyugdíjbiztosítási igazgatóság jár el.</w:t>
      </w:r>
    </w:p>
    <w:p w:rsidR="00DA737E" w:rsidRPr="005F5CD1" w:rsidRDefault="00DA737E" w:rsidP="00DA737E">
      <w:pPr>
        <w:pStyle w:val="Bek2"/>
        <w:rPr>
          <w:rFonts w:eastAsia="Calibri"/>
        </w:rPr>
      </w:pPr>
      <w:r w:rsidRPr="005F5CD1">
        <w:rPr>
          <w:rFonts w:eastAsia="Calibri"/>
        </w:rPr>
        <w:t>(2) A Nyugdíjfolyósító Igazgatóság jár el első fokon a társadalombiztosítási nyugellátások, valamint a nyugdíjbiztosítási igazgatási szervek feladat- és hatáskörébe tartozó egyéb ellátások megállapításával kapcsolatos hatósági ügyekben</w:t>
      </w:r>
      <w:r w:rsidRPr="005F5CD1">
        <w:t>, ha</w:t>
      </w:r>
    </w:p>
    <w:p w:rsidR="00DA737E" w:rsidRPr="005F5CD1" w:rsidRDefault="00DA737E" w:rsidP="00DA737E">
      <w:pPr>
        <w:pStyle w:val="Pont"/>
        <w:rPr>
          <w:rFonts w:eastAsia="Calibri"/>
        </w:rPr>
      </w:pPr>
      <w:r w:rsidRPr="005F5CD1">
        <w:rPr>
          <w:rFonts w:eastAsia="Calibri"/>
        </w:rPr>
        <w:t>a hatósági ügy a szociális biztonsági rendszerek koordinálásáról és annak végrehajtásáról szóló uniós rendeletek hatálya alá tartozik,</w:t>
      </w:r>
    </w:p>
    <w:p w:rsidR="00DA737E" w:rsidRPr="005F5CD1" w:rsidRDefault="00DA737E" w:rsidP="00DA737E">
      <w:pPr>
        <w:pStyle w:val="Pont"/>
        <w:rPr>
          <w:rFonts w:eastAsia="Calibri"/>
        </w:rPr>
      </w:pPr>
      <w:r w:rsidRPr="005F5CD1">
        <w:rPr>
          <w:rFonts w:eastAsia="Calibri"/>
        </w:rPr>
        <w:t>a nyugellátást vagy más ellátást szociális biztonsági (szociálpolitikai) egyezmény alkalmazásával kell megállapítani,</w:t>
      </w:r>
    </w:p>
    <w:p w:rsidR="00DA737E" w:rsidRPr="005F5CD1" w:rsidRDefault="00DA737E" w:rsidP="00DA737E">
      <w:pPr>
        <w:pStyle w:val="Pont"/>
        <w:rPr>
          <w:rFonts w:eastAsia="Calibri"/>
        </w:rPr>
      </w:pPr>
      <w:r w:rsidRPr="005F5CD1">
        <w:rPr>
          <w:rFonts w:eastAsia="Calibri"/>
        </w:rPr>
        <w:t>a kérelmező magyarországi lakóhellyel nem rendelkezik,</w:t>
      </w:r>
    </w:p>
    <w:p w:rsidR="00DA737E" w:rsidRPr="005F5CD1" w:rsidRDefault="00DA737E" w:rsidP="00DA737E">
      <w:pPr>
        <w:pStyle w:val="Pont"/>
        <w:rPr>
          <w:rFonts w:eastAsia="Calibri"/>
        </w:rPr>
      </w:pPr>
      <w:r w:rsidRPr="005F5CD1">
        <w:rPr>
          <w:rFonts w:eastAsia="Calibri"/>
        </w:rPr>
        <w:t xml:space="preserve">az öregségi nyugdíjra jogosult személy, illetve hozzátartozói nyugellátás esetén az elhunyt jogszerző utolsó biztosítással járó jogviszonya </w:t>
      </w:r>
      <w:r w:rsidRPr="005F5CD1">
        <w:t>fegyveres szervvel, a Magyar Honvédséggel vagy a Katonai Nemzetbiztonsági Szolgálattal fennállt szolgálati viszony volt,</w:t>
      </w:r>
    </w:p>
    <w:p w:rsidR="00DA737E" w:rsidRPr="005F5CD1" w:rsidRDefault="00DA737E" w:rsidP="00DA737E">
      <w:pPr>
        <w:pStyle w:val="Pont"/>
        <w:rPr>
          <w:rFonts w:eastAsia="Calibri"/>
        </w:rPr>
      </w:pPr>
      <w:r w:rsidRPr="005F5CD1">
        <w:rPr>
          <w:lang w:eastAsia="en-US"/>
        </w:rPr>
        <w:t xml:space="preserve">fegyveres szerv hivatásos állományú tagjának, volt tagjának a </w:t>
      </w:r>
      <w:r w:rsidRPr="005F5CD1">
        <w:t>korhatár előtti öregségi nyugdíjak megszüntetéséről, a korhatár előtti ellátásról és a szolgálati járandóságról szóló 2011. évi CLXVII. törvény 19. §</w:t>
      </w:r>
      <w:proofErr w:type="spellStart"/>
      <w:r w:rsidRPr="005F5CD1">
        <w:t>-</w:t>
      </w:r>
      <w:proofErr w:type="gramStart"/>
      <w:r w:rsidRPr="005F5CD1">
        <w:t>a</w:t>
      </w:r>
      <w:proofErr w:type="spellEnd"/>
      <w:proofErr w:type="gramEnd"/>
      <w:r w:rsidRPr="005F5CD1">
        <w:t xml:space="preserve"> alapján rögzített nyugdíjat kell megállapítani (a továbbiakban: nyugdíjrögzítés),</w:t>
      </w:r>
    </w:p>
    <w:p w:rsidR="00DA737E" w:rsidRPr="005F5CD1" w:rsidRDefault="00DA737E" w:rsidP="00DA737E">
      <w:pPr>
        <w:pStyle w:val="Pont"/>
        <w:rPr>
          <w:rFonts w:eastAsia="Calibri"/>
        </w:rPr>
      </w:pPr>
      <w:r w:rsidRPr="005F5CD1">
        <w:rPr>
          <w:rFonts w:eastAsia="Calibri"/>
        </w:rPr>
        <w:t>az elhunyt jogszerző öregségi nyugdíjban, korhatár előtti ellátásban, szolgálati járandóságban,</w:t>
      </w:r>
      <w:r w:rsidRPr="005F5CD1">
        <w:t xml:space="preserve"> balettművészeti életjáradékban</w:t>
      </w:r>
      <w:r w:rsidRPr="005F5CD1">
        <w:rPr>
          <w:rFonts w:eastAsia="Calibri"/>
        </w:rPr>
        <w:t xml:space="preserve"> vagy átmeneti bányászjáradékban részesült, kivéve, ha a jogosult a hozzátartozói nyugellátás összegét a </w:t>
      </w:r>
      <w:r w:rsidRPr="005F5CD1">
        <w:t>korhatár előtti öregségi nyugdíjak megszüntetéséről, a korhatár előtti ellátásról és a szolgálati járandóságról szóló 2011. évi CLXVII. törvény</w:t>
      </w:r>
      <w:r w:rsidRPr="005F5CD1">
        <w:rPr>
          <w:rFonts w:eastAsia="Calibri"/>
        </w:rPr>
        <w:t xml:space="preserve"> 18. § (3) bekezdése alapján kéri megállapítani, vagy</w:t>
      </w:r>
    </w:p>
    <w:p w:rsidR="00DA737E" w:rsidRPr="005F5CD1" w:rsidRDefault="00DA737E" w:rsidP="00DA737E">
      <w:pPr>
        <w:pStyle w:val="Pont"/>
        <w:rPr>
          <w:rFonts w:eastAsia="Calibri"/>
        </w:rPr>
      </w:pPr>
      <w:r w:rsidRPr="005F5CD1">
        <w:rPr>
          <w:rFonts w:eastAsia="Calibri"/>
        </w:rPr>
        <w:t>az elhunyt jogszerző után hozzátartozói nyugellátás megállapítására már sor került.”</w:t>
      </w:r>
    </w:p>
    <w:p w:rsidR="008C7F6B" w:rsidRPr="005F5CD1" w:rsidRDefault="00DA737E" w:rsidP="00DA737E">
      <w:pPr>
        <w:pStyle w:val="Paragrafus"/>
      </w:pPr>
      <w:bookmarkStart w:id="2" w:name="_Ref318116995"/>
      <w:r w:rsidRPr="005F5CD1">
        <w:t>§</w:t>
      </w:r>
      <w:bookmarkEnd w:id="2"/>
    </w:p>
    <w:p w:rsidR="00DA737E" w:rsidRPr="005F5CD1" w:rsidRDefault="00DA737E" w:rsidP="00DA737E">
      <w:pPr>
        <w:pStyle w:val="Bek2"/>
        <w:rPr>
          <w:rFonts w:eastAsia="Calibri"/>
        </w:rPr>
      </w:pPr>
      <w:r w:rsidRPr="005F5CD1">
        <w:rPr>
          <w:rFonts w:eastAsia="Calibri"/>
        </w:rPr>
        <w:t xml:space="preserve">A </w:t>
      </w:r>
      <w:proofErr w:type="spellStart"/>
      <w:r w:rsidRPr="005F5CD1">
        <w:rPr>
          <w:rFonts w:eastAsia="Calibri"/>
        </w:rPr>
        <w:t>TnyR</w:t>
      </w:r>
      <w:proofErr w:type="spellEnd"/>
      <w:r w:rsidRPr="005F5CD1">
        <w:rPr>
          <w:rFonts w:eastAsia="Calibri"/>
        </w:rPr>
        <w:t>. a következő 71. §</w:t>
      </w:r>
      <w:proofErr w:type="spellStart"/>
      <w:r w:rsidRPr="005F5CD1">
        <w:rPr>
          <w:rFonts w:eastAsia="Calibri"/>
        </w:rPr>
        <w:t>-sal</w:t>
      </w:r>
      <w:proofErr w:type="spellEnd"/>
      <w:r w:rsidRPr="005F5CD1">
        <w:rPr>
          <w:rFonts w:eastAsia="Calibri"/>
        </w:rPr>
        <w:t xml:space="preserve"> egészül ki:</w:t>
      </w:r>
    </w:p>
    <w:p w:rsidR="001204B1" w:rsidRPr="005F5CD1" w:rsidRDefault="00DA737E" w:rsidP="00DA737E">
      <w:pPr>
        <w:pStyle w:val="Bek2"/>
        <w:rPr>
          <w:rFonts w:eastAsia="Calibri"/>
        </w:rPr>
      </w:pPr>
      <w:r w:rsidRPr="005F5CD1">
        <w:rPr>
          <w:rFonts w:eastAsia="Calibri"/>
        </w:rPr>
        <w:t xml:space="preserve">„71. § (1) </w:t>
      </w:r>
      <w:r w:rsidR="001204B1" w:rsidRPr="005F5CD1">
        <w:rPr>
          <w:rFonts w:eastAsia="Calibri"/>
        </w:rPr>
        <w:t>A nyugdíjbiztosítási igazgatási szervek elektronikus aláírással kiadmányozott és központi tárhelyen tárolt döntései</w:t>
      </w:r>
      <w:r w:rsidR="001A7494" w:rsidRPr="005F5CD1">
        <w:rPr>
          <w:rFonts w:eastAsia="Calibri"/>
        </w:rPr>
        <w:t>nek másolatát</w:t>
      </w:r>
      <w:r w:rsidR="001204B1" w:rsidRPr="005F5CD1">
        <w:rPr>
          <w:rFonts w:eastAsia="Calibri"/>
        </w:rPr>
        <w:t xml:space="preserve"> </w:t>
      </w:r>
      <w:r w:rsidR="001A7494" w:rsidRPr="005F5CD1">
        <w:rPr>
          <w:rFonts w:eastAsia="Calibri"/>
        </w:rPr>
        <w:t xml:space="preserve">az </w:t>
      </w:r>
      <w:r w:rsidR="001204B1" w:rsidRPr="005F5CD1">
        <w:rPr>
          <w:rFonts w:eastAsia="Calibri"/>
        </w:rPr>
        <w:t>„Ez a döntés az eredeti elektronikus úton előállított dokumentummal megegyező tartalmú hiteles papíralapú másolat.” szövegű hitele</w:t>
      </w:r>
      <w:r w:rsidR="004443E4" w:rsidRPr="005F5CD1">
        <w:rPr>
          <w:rFonts w:eastAsia="Calibri"/>
        </w:rPr>
        <w:t>sítési záradékkal kell ellátni.</w:t>
      </w:r>
    </w:p>
    <w:p w:rsidR="00DA737E" w:rsidRPr="005F5CD1" w:rsidRDefault="001204B1" w:rsidP="00DA737E">
      <w:pPr>
        <w:pStyle w:val="Bek2"/>
        <w:rPr>
          <w:rFonts w:eastAsia="Calibri"/>
        </w:rPr>
      </w:pPr>
      <w:r w:rsidRPr="005F5CD1">
        <w:rPr>
          <w:rFonts w:eastAsia="Calibri"/>
        </w:rPr>
        <w:t xml:space="preserve">(2) </w:t>
      </w:r>
      <w:r w:rsidR="00DA737E" w:rsidRPr="005F5CD1">
        <w:rPr>
          <w:rFonts w:eastAsia="Calibri"/>
        </w:rPr>
        <w:t>A nyugdíjbiztosítási igazgatási szervek elektronikus aláírással kiadmányozott döntéseinek nyomtatását és postai úton történő közlését központilag a Nyugdíjfolyósító Igazgatóság végzi.</w:t>
      </w:r>
      <w:r w:rsidRPr="005F5CD1">
        <w:rPr>
          <w:rFonts w:eastAsia="Calibri"/>
        </w:rPr>
        <w:t>”</w:t>
      </w:r>
    </w:p>
    <w:p w:rsidR="00186FF7" w:rsidRPr="005F5CD1" w:rsidRDefault="00186FF7" w:rsidP="00186FF7">
      <w:pPr>
        <w:pStyle w:val="Paragrafus"/>
      </w:pPr>
      <w:r w:rsidRPr="005F5CD1">
        <w:t>§</w:t>
      </w:r>
    </w:p>
    <w:p w:rsidR="00186FF7" w:rsidRPr="005F5CD1" w:rsidRDefault="00186FF7" w:rsidP="00186FF7">
      <w:pPr>
        <w:pStyle w:val="Bek2"/>
      </w:pPr>
      <w:r w:rsidRPr="005F5CD1">
        <w:t xml:space="preserve">A </w:t>
      </w:r>
      <w:proofErr w:type="spellStart"/>
      <w:r w:rsidRPr="005F5CD1">
        <w:t>TnyR</w:t>
      </w:r>
      <w:proofErr w:type="spellEnd"/>
      <w:r w:rsidRPr="005F5CD1">
        <w:t xml:space="preserve">. </w:t>
      </w:r>
      <w:r w:rsidRPr="005F5CD1">
        <w:rPr>
          <w:i/>
        </w:rPr>
        <w:t>2. melléklete</w:t>
      </w:r>
      <w:r w:rsidRPr="005F5CD1">
        <w:t xml:space="preserve"> helyébe </w:t>
      </w:r>
      <w:r w:rsidR="00793B9B" w:rsidRPr="005F5CD1">
        <w:t>az</w:t>
      </w:r>
      <w:r w:rsidRPr="005F5CD1">
        <w:t xml:space="preserve"> </w:t>
      </w:r>
      <w:r w:rsidRPr="005F5CD1">
        <w:rPr>
          <w:i/>
        </w:rPr>
        <w:t>1.</w:t>
      </w:r>
      <w:r w:rsidRPr="005F5CD1">
        <w:t xml:space="preserve"> </w:t>
      </w:r>
      <w:r w:rsidRPr="005F5CD1">
        <w:rPr>
          <w:i/>
        </w:rPr>
        <w:t>melléklet</w:t>
      </w:r>
      <w:r w:rsidRPr="005F5CD1">
        <w:t xml:space="preserve"> lép.</w:t>
      </w:r>
    </w:p>
    <w:p w:rsidR="00DA737E" w:rsidRPr="005F5CD1" w:rsidRDefault="001204B1" w:rsidP="001204B1">
      <w:pPr>
        <w:pStyle w:val="Paragrafus"/>
      </w:pPr>
      <w:bookmarkStart w:id="3" w:name="_Ref318117020"/>
      <w:r w:rsidRPr="005F5CD1">
        <w:t>§</w:t>
      </w:r>
      <w:bookmarkEnd w:id="3"/>
    </w:p>
    <w:p w:rsidR="001204B1" w:rsidRPr="005F5CD1" w:rsidRDefault="001204B1" w:rsidP="001204B1">
      <w:pPr>
        <w:pStyle w:val="Bekezds"/>
      </w:pPr>
      <w:r w:rsidRPr="005F5CD1">
        <w:t xml:space="preserve">A </w:t>
      </w:r>
      <w:proofErr w:type="spellStart"/>
      <w:r w:rsidRPr="005F5CD1">
        <w:t>TnyR</w:t>
      </w:r>
      <w:proofErr w:type="spellEnd"/>
      <w:r w:rsidRPr="005F5CD1">
        <w:t>.</w:t>
      </w:r>
      <w:r w:rsidR="0047597A" w:rsidRPr="005F5CD1">
        <w:t xml:space="preserve"> </w:t>
      </w:r>
      <w:r w:rsidRPr="005F5CD1">
        <w:t xml:space="preserve">80. § (7) bekezdésében az „az ellátásnak” szövegrész helyébe az </w:t>
      </w:r>
      <w:proofErr w:type="gramStart"/>
      <w:r w:rsidRPr="005F5CD1">
        <w:t>„ ,</w:t>
      </w:r>
      <w:proofErr w:type="gramEnd"/>
      <w:r w:rsidRPr="005F5CD1">
        <w:t xml:space="preserve"> a nyugdíjfolyósító szerv által folyósított ellátásnak” szöveg</w:t>
      </w:r>
      <w:r w:rsidR="0047597A" w:rsidRPr="005F5CD1">
        <w:t xml:space="preserve"> </w:t>
      </w:r>
      <w:r w:rsidRPr="005F5CD1">
        <w:t>lép.</w:t>
      </w:r>
    </w:p>
    <w:p w:rsidR="0047597A" w:rsidRPr="005F5CD1" w:rsidRDefault="0047597A" w:rsidP="000329BE">
      <w:pPr>
        <w:pStyle w:val="Bekezds"/>
      </w:pPr>
      <w:bookmarkStart w:id="4" w:name="_Ref318117000"/>
      <w:r w:rsidRPr="005F5CD1">
        <w:lastRenderedPageBreak/>
        <w:t>A TnyR.</w:t>
      </w:r>
      <w:bookmarkEnd w:id="4"/>
    </w:p>
    <w:p w:rsidR="0047597A" w:rsidRPr="005F5CD1" w:rsidRDefault="000329BE" w:rsidP="0047597A">
      <w:pPr>
        <w:pStyle w:val="Pont"/>
      </w:pPr>
      <w:r w:rsidRPr="005F5CD1">
        <w:t>89/A. § (1)</w:t>
      </w:r>
      <w:r w:rsidR="0047597A" w:rsidRPr="005F5CD1">
        <w:t xml:space="preserve"> és (2)</w:t>
      </w:r>
      <w:r w:rsidRPr="005F5CD1">
        <w:t xml:space="preserve"> bekezdésében a „Központi Nyugdíjnyilvántartó és Informatikai Igazgatóság” szövegrész helyébe a „Nyugdíjfolyósító Igazgatóság” szöveg</w:t>
      </w:r>
      <w:r w:rsidR="0047597A" w:rsidRPr="005F5CD1">
        <w:t>,</w:t>
      </w:r>
    </w:p>
    <w:p w:rsidR="0047597A" w:rsidRPr="005F5CD1" w:rsidRDefault="0047597A" w:rsidP="0047597A">
      <w:pPr>
        <w:pStyle w:val="Pont"/>
      </w:pPr>
      <w:r w:rsidRPr="005F5CD1">
        <w:t>89/A. § (2) bekezdésében a „Központi Nyugdíjnyilvántartó és Informatikai Igazgatóságnak” szövegrész helyébe a „Nyugdíjfolyósító Igazgatóságnak” szöveg</w:t>
      </w:r>
    </w:p>
    <w:p w:rsidR="000329BE" w:rsidRPr="005F5CD1" w:rsidRDefault="000329BE" w:rsidP="0047597A">
      <w:pPr>
        <w:pStyle w:val="Lezr"/>
      </w:pPr>
      <w:proofErr w:type="gramStart"/>
      <w:r w:rsidRPr="005F5CD1">
        <w:t>lép</w:t>
      </w:r>
      <w:proofErr w:type="gramEnd"/>
      <w:r w:rsidRPr="005F5CD1">
        <w:t>.</w:t>
      </w:r>
    </w:p>
    <w:p w:rsidR="00C03B8F" w:rsidRPr="005F5CD1" w:rsidRDefault="00C03B8F" w:rsidP="00C03B8F">
      <w:pPr>
        <w:pStyle w:val="Alcmjsz"/>
      </w:pPr>
      <w:r w:rsidRPr="005F5CD1">
        <w:t>A társadalombiztosítás ellátásaira és a magánnyugdíjra jogosultakról, valamint e szolgáltatások fedezetéről szóló 1997. évi LXXX. törvény végrehajtásáról szóló 195/1997. (XI. 5.) Korm. rendelet módosítása</w:t>
      </w:r>
    </w:p>
    <w:p w:rsidR="00C03B8F" w:rsidRPr="005F5CD1" w:rsidRDefault="00C03B8F" w:rsidP="00C03B8F">
      <w:pPr>
        <w:pStyle w:val="Paragrafus"/>
      </w:pPr>
      <w:bookmarkStart w:id="5" w:name="_Ref318124399"/>
      <w:r w:rsidRPr="005F5CD1">
        <w:t>§</w:t>
      </w:r>
      <w:bookmarkEnd w:id="5"/>
    </w:p>
    <w:p w:rsidR="00C03B8F" w:rsidRPr="005F5CD1" w:rsidRDefault="00C03B8F" w:rsidP="00C03B8F">
      <w:pPr>
        <w:pStyle w:val="Bek2"/>
      </w:pPr>
      <w:r w:rsidRPr="005F5CD1">
        <w:t>A társadalombiztosítás ellátásaira és a magánnyugdíjra jogosultakról, valamint e szolgáltatások fedezetéről szóló 1997. évi LXXX. törvény végrehajtásáról szóló 195/1997. (XI. 5.) Korm. rendelet 8. § (1) bekezdésében a „Központi Nyugdíjnyilvántartó és Informatikai Igazgatóság” szövegrész helyébe a „Nyugdíjfolyósító Igazgatóság” szöveg lép.</w:t>
      </w:r>
    </w:p>
    <w:p w:rsidR="009036CE" w:rsidRPr="005F5CD1" w:rsidRDefault="009036CE" w:rsidP="009036CE">
      <w:pPr>
        <w:pStyle w:val="Alcmjsz"/>
      </w:pPr>
      <w:r w:rsidRPr="005F5CD1">
        <w:t>A szociális foglalkoztatás engedélyezéséről és a szociális foglalkoztatási támogatásról szóló 112/2006. (V. 12.) Korm. rendelet módosítása</w:t>
      </w:r>
    </w:p>
    <w:p w:rsidR="009036CE" w:rsidRPr="005F5CD1" w:rsidRDefault="009036CE" w:rsidP="009036CE">
      <w:pPr>
        <w:pStyle w:val="Paragrafus"/>
      </w:pPr>
      <w:r w:rsidRPr="005F5CD1">
        <w:t>§</w:t>
      </w:r>
    </w:p>
    <w:p w:rsidR="009036CE" w:rsidRPr="005F5CD1" w:rsidRDefault="009036CE" w:rsidP="009036CE">
      <w:pPr>
        <w:pStyle w:val="Bek2"/>
      </w:pPr>
      <w:r w:rsidRPr="005F5CD1">
        <w:t>A szociális foglalkoztatás engedélyezéséről és a szociális foglalkoztatási támogatásról szóló 112/2006. (V. 12.) Korm. rendelet 16/B. § (1) bekezdése helyébe a következő rendelkezés lép:</w:t>
      </w:r>
    </w:p>
    <w:p w:rsidR="009036CE" w:rsidRPr="005F5CD1" w:rsidRDefault="009036CE" w:rsidP="009036CE">
      <w:pPr>
        <w:pStyle w:val="Bek2"/>
      </w:pPr>
      <w:r w:rsidRPr="005F5CD1">
        <w:t xml:space="preserve">„(1) A fejezeti kezelésű előirányzat kezelő szerve a Hivatal. Az erről szóló szerződést a miniszter és a Hivatal főigazgatója a </w:t>
      </w:r>
      <w:r w:rsidR="00B13C4D">
        <w:t xml:space="preserve">központi </w:t>
      </w:r>
      <w:r w:rsidRPr="005F5CD1">
        <w:t>költségvetés</w:t>
      </w:r>
      <w:r w:rsidR="00B13C4D">
        <w:t>ről szóló</w:t>
      </w:r>
      <w:r w:rsidRPr="005F5CD1">
        <w:t xml:space="preserve"> törvény kihirdetését követő 5 munkanapon belül köti meg.”</w:t>
      </w:r>
    </w:p>
    <w:p w:rsidR="009036CE" w:rsidRPr="005F5CD1" w:rsidRDefault="009036CE" w:rsidP="009036CE">
      <w:pPr>
        <w:pStyle w:val="Paragrafus"/>
      </w:pPr>
      <w:r w:rsidRPr="005F5CD1">
        <w:t>§</w:t>
      </w:r>
    </w:p>
    <w:p w:rsidR="009036CE" w:rsidRPr="005F5CD1" w:rsidRDefault="009036CE" w:rsidP="009036CE">
      <w:pPr>
        <w:pStyle w:val="Bek2"/>
      </w:pPr>
      <w:r w:rsidRPr="005F5CD1">
        <w:t>A szociális foglalkoztatás engedélyezéséről és a szociális foglalkoztatási támogatásról szóló 112/2006. (V. 12.) Korm. rendelet 17. §</w:t>
      </w:r>
      <w:proofErr w:type="spellStart"/>
      <w:r w:rsidRPr="005F5CD1">
        <w:t>-</w:t>
      </w:r>
      <w:proofErr w:type="gramStart"/>
      <w:r w:rsidRPr="005F5CD1">
        <w:t>a</w:t>
      </w:r>
      <w:proofErr w:type="spellEnd"/>
      <w:proofErr w:type="gramEnd"/>
      <w:r w:rsidRPr="005F5CD1">
        <w:t xml:space="preserve"> a következő (4) bekezdéssel egészül ki:</w:t>
      </w:r>
    </w:p>
    <w:p w:rsidR="009036CE" w:rsidRPr="005F5CD1" w:rsidRDefault="009036CE" w:rsidP="009036CE">
      <w:pPr>
        <w:pStyle w:val="Bek2"/>
      </w:pPr>
      <w:r w:rsidRPr="005F5CD1">
        <w:t xml:space="preserve">„(4) A miniszter és a Hivatal főigazgatója a </w:t>
      </w:r>
      <w:r w:rsidR="005F5CD1">
        <w:t xml:space="preserve">2012. évi </w:t>
      </w:r>
      <w:r w:rsidRPr="005F5CD1">
        <w:t>fejezeti kezelésű előirányzat 2012. április 1-jétől történő kezeléséről szóló szerződést 2012. március 31-éig köti meg.”</w:t>
      </w:r>
    </w:p>
    <w:p w:rsidR="009036CE" w:rsidRPr="005F5CD1" w:rsidRDefault="009036CE" w:rsidP="009036CE">
      <w:pPr>
        <w:pStyle w:val="Paragrafus"/>
      </w:pPr>
      <w:r w:rsidRPr="005F5CD1">
        <w:t>§</w:t>
      </w:r>
    </w:p>
    <w:p w:rsidR="009036CE" w:rsidRPr="005F5CD1" w:rsidRDefault="009036CE" w:rsidP="009036CE">
      <w:pPr>
        <w:pStyle w:val="Bek2"/>
      </w:pPr>
      <w:r w:rsidRPr="005F5CD1">
        <w:t xml:space="preserve">A szociális foglalkoztatás engedélyezéséről és a szociális foglalkoztatási támogatásról szóló 112/2006. (V. 12.) Korm. rendelet 16/E. § </w:t>
      </w:r>
      <w:r w:rsidRPr="005F5CD1">
        <w:rPr>
          <w:i/>
        </w:rPr>
        <w:t xml:space="preserve">c) </w:t>
      </w:r>
      <w:r w:rsidRPr="005F5CD1">
        <w:t xml:space="preserve">pontjában az </w:t>
      </w:r>
      <w:proofErr w:type="gramStart"/>
      <w:r w:rsidRPr="005F5CD1">
        <w:t>„államháztartás</w:t>
      </w:r>
      <w:proofErr w:type="gramEnd"/>
      <w:r w:rsidRPr="005F5CD1">
        <w:t xml:space="preserve"> működési rendjéről szóló 217/1998. (XII. 30.) Korm. rendelet” szövegrész helyébe az </w:t>
      </w:r>
      <w:proofErr w:type="gramStart"/>
      <w:r w:rsidRPr="005F5CD1">
        <w:t>„államháztartásról</w:t>
      </w:r>
      <w:proofErr w:type="gramEnd"/>
      <w:r w:rsidRPr="005F5CD1">
        <w:t xml:space="preserve"> szóló törvény végrehajtásáról rendelkező kormányrendeletnek a” szövegrész </w:t>
      </w:r>
      <w:r w:rsidR="00CE41B8" w:rsidRPr="005F5CD1">
        <w:t>l</w:t>
      </w:r>
      <w:r w:rsidRPr="005F5CD1">
        <w:t>ép.</w:t>
      </w:r>
    </w:p>
    <w:p w:rsidR="00376B39" w:rsidRPr="005F5CD1" w:rsidRDefault="00376B39" w:rsidP="00376B39">
      <w:pPr>
        <w:pStyle w:val="Alcmjsz"/>
      </w:pPr>
      <w:r w:rsidRPr="005F5CD1">
        <w:lastRenderedPageBreak/>
        <w:t>A támogató szolgáltatás és a közösségi ellátások finanszírozásának rendjéről szóló 191/2008. (VII. 30.) Korm. rendelet módosítása</w:t>
      </w:r>
    </w:p>
    <w:p w:rsidR="00376B39" w:rsidRPr="005F5CD1" w:rsidRDefault="00376B39" w:rsidP="00376B39">
      <w:pPr>
        <w:pStyle w:val="Paragrafus"/>
      </w:pPr>
      <w:r w:rsidRPr="005F5CD1">
        <w:t>§</w:t>
      </w:r>
    </w:p>
    <w:p w:rsidR="00376B39" w:rsidRPr="005F5CD1" w:rsidRDefault="00376B39" w:rsidP="00376B39">
      <w:pPr>
        <w:pStyle w:val="Bek2"/>
      </w:pPr>
      <w:r w:rsidRPr="005F5CD1">
        <w:t>A támogató szolgáltatás és a közösségi ellátások finanszírozásának rendjéről szóló 191/2008. (VII. 30.) Korm. rendelet 16. § (1) bekezdése helyébe a következő rendelkezés lép:</w:t>
      </w:r>
    </w:p>
    <w:p w:rsidR="00376B39" w:rsidRPr="005F5CD1" w:rsidRDefault="00376B39" w:rsidP="00376B39">
      <w:pPr>
        <w:pStyle w:val="Bek2"/>
      </w:pPr>
      <w:r w:rsidRPr="005F5CD1">
        <w:t>„(1) A fejezeti kezelésű előirányzat kezelő</w:t>
      </w:r>
      <w:r w:rsidR="000E0B16" w:rsidRPr="005F5CD1">
        <w:t xml:space="preserve"> szerve</w:t>
      </w:r>
      <w:r w:rsidRPr="005F5CD1">
        <w:t xml:space="preserve"> a Hivatal. A</w:t>
      </w:r>
      <w:r w:rsidR="000E0B16" w:rsidRPr="005F5CD1">
        <w:t>z erről szóló</w:t>
      </w:r>
      <w:r w:rsidRPr="005F5CD1">
        <w:t xml:space="preserve"> szerződést a miniszter és a Hivatal főigazgatója a </w:t>
      </w:r>
      <w:r w:rsidR="00B13C4D">
        <w:t xml:space="preserve">központi </w:t>
      </w:r>
      <w:r w:rsidR="00B13C4D" w:rsidRPr="005F5CD1">
        <w:t>költségvetés</w:t>
      </w:r>
      <w:r w:rsidR="00B13C4D">
        <w:t>ről szóló</w:t>
      </w:r>
      <w:r w:rsidR="00B13C4D" w:rsidRPr="005F5CD1">
        <w:t xml:space="preserve"> törvény </w:t>
      </w:r>
      <w:r w:rsidRPr="005F5CD1">
        <w:t>kihirdetését követő 5 munkanapon belül köti meg.”</w:t>
      </w:r>
    </w:p>
    <w:p w:rsidR="00376B39" w:rsidRPr="005F5CD1" w:rsidRDefault="00376B39" w:rsidP="00376B39">
      <w:pPr>
        <w:pStyle w:val="Paragrafus"/>
      </w:pPr>
      <w:r w:rsidRPr="005F5CD1">
        <w:t>§</w:t>
      </w:r>
    </w:p>
    <w:p w:rsidR="00376B39" w:rsidRPr="005F5CD1" w:rsidRDefault="00376B39" w:rsidP="00376B39">
      <w:pPr>
        <w:pStyle w:val="Bek2"/>
      </w:pPr>
      <w:r w:rsidRPr="005F5CD1">
        <w:t>A támogató szolgáltatás és a közösségi ellátások finanszírozásának rendjéről szóló 191/2008. (VII. 30.) Korm. rendelet a következő 24. §</w:t>
      </w:r>
      <w:proofErr w:type="spellStart"/>
      <w:r w:rsidRPr="005F5CD1">
        <w:t>-sal</w:t>
      </w:r>
      <w:proofErr w:type="spellEnd"/>
      <w:r w:rsidRPr="005F5CD1">
        <w:t xml:space="preserve"> egészül ki:</w:t>
      </w:r>
    </w:p>
    <w:p w:rsidR="00376B39" w:rsidRPr="005F5CD1" w:rsidRDefault="00376B39" w:rsidP="00376B39">
      <w:pPr>
        <w:pStyle w:val="Bek2"/>
      </w:pPr>
      <w:r w:rsidRPr="005F5CD1">
        <w:t xml:space="preserve">„24. § A miniszter és a Hivatal főigazgatója a </w:t>
      </w:r>
      <w:r w:rsidR="005F5CD1">
        <w:t xml:space="preserve">2012. évi </w:t>
      </w:r>
      <w:r w:rsidR="000E0B16" w:rsidRPr="005F5CD1">
        <w:t xml:space="preserve">fejezeti kezelésű előirányzat </w:t>
      </w:r>
      <w:r w:rsidRPr="005F5CD1">
        <w:t xml:space="preserve">2012. </w:t>
      </w:r>
      <w:r w:rsidR="000E0B16" w:rsidRPr="005F5CD1">
        <w:t>április 1-jétől történő kezeléséről szóló</w:t>
      </w:r>
      <w:r w:rsidRPr="005F5CD1">
        <w:t xml:space="preserve"> szerződést </w:t>
      </w:r>
      <w:r w:rsidR="00FE7363" w:rsidRPr="005F5CD1">
        <w:t>2012. március 31-éig</w:t>
      </w:r>
      <w:r w:rsidRPr="005F5CD1">
        <w:t xml:space="preserve"> köti meg.”</w:t>
      </w:r>
    </w:p>
    <w:p w:rsidR="00650240" w:rsidRPr="005F5CD1" w:rsidRDefault="00650240" w:rsidP="00650240">
      <w:pPr>
        <w:pStyle w:val="Alcmjsz"/>
      </w:pPr>
      <w:r w:rsidRPr="005F5CD1">
        <w:t>A krízishelyzetbe került személyek támogatásáról szóló 136/2009. (VI. 24.) Korm. rendelet módosítása</w:t>
      </w:r>
    </w:p>
    <w:p w:rsidR="00650240" w:rsidRPr="005F5CD1" w:rsidRDefault="00650240" w:rsidP="00650240">
      <w:pPr>
        <w:pStyle w:val="Paragrafus"/>
      </w:pPr>
      <w:r w:rsidRPr="005F5CD1">
        <w:t>§</w:t>
      </w:r>
    </w:p>
    <w:p w:rsidR="00650240" w:rsidRPr="005F5CD1" w:rsidRDefault="00650240" w:rsidP="00650240">
      <w:pPr>
        <w:pStyle w:val="Bek2"/>
      </w:pPr>
      <w:r w:rsidRPr="005F5CD1">
        <w:t>A krízishelyzetbe került személyek támogatásáról szóló 136/2009. (VI. 24.) Korm. rendelet 1. § (1) bekezdésében a „Magyar Köztársaság” szövegrész helyébe a „Magyarország” szöveg lép.</w:t>
      </w:r>
    </w:p>
    <w:p w:rsidR="0047597A" w:rsidRPr="005F5CD1" w:rsidRDefault="0047597A" w:rsidP="0047597A">
      <w:pPr>
        <w:pStyle w:val="Alcmjsz"/>
      </w:pPr>
      <w:r w:rsidRPr="005F5CD1">
        <w:t xml:space="preserve">A Magyar Alkotóművészeti </w:t>
      </w:r>
      <w:r w:rsidRPr="005F5CD1">
        <w:rPr>
          <w:rFonts w:eastAsia="Calibri"/>
        </w:rPr>
        <w:t>Közalapítvány</w:t>
      </w:r>
      <w:r w:rsidRPr="005F5CD1">
        <w:t xml:space="preserve"> által folyósított ellátásokról szóló 52/2011. (III. 31.) Korm. rendelet</w:t>
      </w:r>
      <w:r w:rsidR="00C03B8F" w:rsidRPr="005F5CD1">
        <w:rPr>
          <w:rFonts w:eastAsia="Calibri"/>
        </w:rPr>
        <w:t xml:space="preserve"> módosítása</w:t>
      </w:r>
    </w:p>
    <w:p w:rsidR="0047597A" w:rsidRPr="005F5CD1" w:rsidRDefault="0047597A" w:rsidP="0047597A">
      <w:pPr>
        <w:pStyle w:val="Paragrafus"/>
      </w:pPr>
      <w:r w:rsidRPr="005F5CD1">
        <w:t>§</w:t>
      </w:r>
    </w:p>
    <w:p w:rsidR="0047597A" w:rsidRPr="005F5CD1" w:rsidRDefault="0047597A" w:rsidP="0047597A">
      <w:pPr>
        <w:pStyle w:val="Bek2"/>
      </w:pPr>
      <w:r w:rsidRPr="005F5CD1">
        <w:t xml:space="preserve">A Magyar Alkotóművészeti </w:t>
      </w:r>
      <w:r w:rsidRPr="005F5CD1">
        <w:rPr>
          <w:rFonts w:eastAsia="Calibri"/>
        </w:rPr>
        <w:t>Közalapítvány</w:t>
      </w:r>
      <w:r w:rsidRPr="005F5CD1">
        <w:t xml:space="preserve"> által folyósított ellátásokról szóló </w:t>
      </w:r>
      <w:r w:rsidRPr="005F5CD1">
        <w:rPr>
          <w:szCs w:val="20"/>
        </w:rPr>
        <w:t>52/2011. (III. 31.) Korm. rendelet</w:t>
      </w:r>
      <w:r w:rsidR="0031321A" w:rsidRPr="005F5CD1">
        <w:rPr>
          <w:szCs w:val="20"/>
        </w:rPr>
        <w:t xml:space="preserve"> </w:t>
      </w:r>
      <w:r w:rsidRPr="005F5CD1">
        <w:rPr>
          <w:szCs w:val="20"/>
        </w:rPr>
        <w:t>3. § (2) bekezdés első mondata helyébe a következő rendelkezés lép:</w:t>
      </w:r>
    </w:p>
    <w:p w:rsidR="0047597A" w:rsidRPr="005F5CD1" w:rsidRDefault="0031321A" w:rsidP="0047597A">
      <w:pPr>
        <w:pStyle w:val="Bek2"/>
      </w:pPr>
      <w:r w:rsidRPr="005F5CD1">
        <w:t>„</w:t>
      </w:r>
      <w:r w:rsidR="0047597A" w:rsidRPr="005F5CD1">
        <w:t>Özvegyi ellátásra az elhunyt jogszerző özvegye jogosult, ha megfelel az özvegyi nyugdíjra való jogosultság va</w:t>
      </w:r>
      <w:r w:rsidRPr="005F5CD1">
        <w:t>gy az özvegyi nyugdíj feléledés</w:t>
      </w:r>
      <w:r w:rsidR="001A7494" w:rsidRPr="005F5CD1">
        <w:t>e</w:t>
      </w:r>
      <w:r w:rsidR="0047597A" w:rsidRPr="005F5CD1">
        <w:t xml:space="preserve"> Tny.-ben meghatározott feltételeinek azzal, hogy </w:t>
      </w:r>
      <w:r w:rsidR="00B1223F" w:rsidRPr="005F5CD1">
        <w:t>a Tny. 47. § (1) bekezdés</w:t>
      </w:r>
      <w:r w:rsidR="00E63B95" w:rsidRPr="005F5CD1">
        <w:t>ének</w:t>
      </w:r>
      <w:r w:rsidR="00B1223F" w:rsidRPr="005F5CD1">
        <w:t xml:space="preserve"> megfelelő alkalmazásával megállapított özvegyi ellátás megszűnését követően </w:t>
      </w:r>
      <w:r w:rsidR="0047597A" w:rsidRPr="005F5CD1">
        <w:t xml:space="preserve">az özvegyi </w:t>
      </w:r>
      <w:r w:rsidR="001A7494" w:rsidRPr="005F5CD1">
        <w:t xml:space="preserve">ellátás </w:t>
      </w:r>
      <w:r w:rsidR="0047597A" w:rsidRPr="005F5CD1">
        <w:t>megállapítására</w:t>
      </w:r>
      <w:r w:rsidR="004443E4" w:rsidRPr="005F5CD1">
        <w:t xml:space="preserve"> és feléledésére</w:t>
      </w:r>
      <w:r w:rsidR="00804E40" w:rsidRPr="005F5CD1">
        <w:t xml:space="preserve"> – az egyéb feltételek teljesítése esetén –</w:t>
      </w:r>
      <w:r w:rsidR="0047597A" w:rsidRPr="005F5CD1">
        <w:t xml:space="preserve"> a Tny. 47. § (2) bekezdés </w:t>
      </w:r>
      <w:r w:rsidR="004443E4" w:rsidRPr="005F5CD1">
        <w:rPr>
          <w:i/>
        </w:rPr>
        <w:t>a)</w:t>
      </w:r>
      <w:r w:rsidR="004443E4" w:rsidRPr="005F5CD1">
        <w:t xml:space="preserve"> pontja szerinti esetben kerül sor</w:t>
      </w:r>
      <w:r w:rsidR="0047597A" w:rsidRPr="005F5CD1">
        <w:t>.</w:t>
      </w:r>
      <w:r w:rsidRPr="005F5CD1">
        <w:t>”</w:t>
      </w:r>
    </w:p>
    <w:p w:rsidR="0031321A" w:rsidRPr="005F5CD1" w:rsidRDefault="0031321A" w:rsidP="0031321A">
      <w:pPr>
        <w:pStyle w:val="Paragrafus"/>
      </w:pPr>
      <w:r w:rsidRPr="005F5CD1">
        <w:t>§</w:t>
      </w:r>
    </w:p>
    <w:p w:rsidR="0031321A" w:rsidRPr="005F5CD1" w:rsidRDefault="0031321A" w:rsidP="0031321A">
      <w:pPr>
        <w:pStyle w:val="Bek2"/>
        <w:rPr>
          <w:szCs w:val="20"/>
        </w:rPr>
      </w:pPr>
      <w:r w:rsidRPr="005F5CD1">
        <w:t xml:space="preserve">A Magyar Alkotóművészeti </w:t>
      </w:r>
      <w:r w:rsidRPr="005F5CD1">
        <w:rPr>
          <w:rFonts w:eastAsia="Calibri"/>
        </w:rPr>
        <w:t>Közalapítvány</w:t>
      </w:r>
      <w:r w:rsidRPr="005F5CD1">
        <w:t xml:space="preserve"> által folyósított ellátásokról szóló </w:t>
      </w:r>
      <w:r w:rsidRPr="005F5CD1">
        <w:rPr>
          <w:szCs w:val="20"/>
        </w:rPr>
        <w:t>52/2011. (III. 31.) Korm. rendelet a következő 6. §</w:t>
      </w:r>
      <w:proofErr w:type="spellStart"/>
      <w:r w:rsidRPr="005F5CD1">
        <w:rPr>
          <w:szCs w:val="20"/>
        </w:rPr>
        <w:t>-sal</w:t>
      </w:r>
      <w:proofErr w:type="spellEnd"/>
      <w:r w:rsidRPr="005F5CD1">
        <w:rPr>
          <w:szCs w:val="20"/>
        </w:rPr>
        <w:t xml:space="preserve"> egészül ki:</w:t>
      </w:r>
    </w:p>
    <w:p w:rsidR="0031321A" w:rsidRPr="005F5CD1" w:rsidRDefault="0031321A" w:rsidP="0031321A">
      <w:pPr>
        <w:pStyle w:val="Bek2"/>
      </w:pPr>
      <w:r w:rsidRPr="005F5CD1">
        <w:lastRenderedPageBreak/>
        <w:t>„6. § A</w:t>
      </w:r>
      <w:r w:rsidR="00B13C4D">
        <w:t>z</w:t>
      </w:r>
      <w:r w:rsidRPr="005F5CD1">
        <w:t xml:space="preserve"> </w:t>
      </w:r>
      <w:r w:rsidR="00B13C4D" w:rsidRPr="00B13C4D">
        <w:t xml:space="preserve">egyes nyugdíjbiztosítási és szociális </w:t>
      </w:r>
      <w:r w:rsidR="009036CE" w:rsidRPr="005F5CD1">
        <w:t xml:space="preserve">tárgyú </w:t>
      </w:r>
      <w:r w:rsidRPr="005F5CD1">
        <w:t xml:space="preserve">kormányrendeletek módosításáról </w:t>
      </w:r>
      <w:proofErr w:type="gramStart"/>
      <w:r w:rsidRPr="005F5CD1">
        <w:t>szóló …</w:t>
      </w:r>
      <w:proofErr w:type="gramEnd"/>
      <w:r w:rsidRPr="005F5CD1">
        <w:t>/2012. (III. ….) Korm. rendelettel megállapított 3. § (2) bekezdés</w:t>
      </w:r>
      <w:r w:rsidR="00C03B8F" w:rsidRPr="005F5CD1">
        <w:t>é</w:t>
      </w:r>
      <w:r w:rsidRPr="005F5CD1">
        <w:t>t a folyamatban lévő ügyekben is alkalmazni kell.”</w:t>
      </w:r>
    </w:p>
    <w:p w:rsidR="00C03B8F" w:rsidRPr="005F5CD1" w:rsidRDefault="00C03B8F" w:rsidP="00C03B8F">
      <w:pPr>
        <w:pStyle w:val="Alcmjsz"/>
      </w:pPr>
      <w:r w:rsidRPr="005F5CD1">
        <w:t>A megváltozott munkaképességű személyek ellátásaival kapcsolatos eljárási szabályokról szóló 327/2011. (XII. 29.) Korm. rendelet módosítása</w:t>
      </w:r>
      <w:r w:rsidRPr="005F5CD1">
        <w:rPr>
          <w:rFonts w:eastAsia="Calibri"/>
        </w:rPr>
        <w:t xml:space="preserve"> </w:t>
      </w:r>
    </w:p>
    <w:p w:rsidR="00C03B8F" w:rsidRPr="005F5CD1" w:rsidRDefault="00C03B8F" w:rsidP="00C03B8F">
      <w:pPr>
        <w:pStyle w:val="Paragrafus"/>
      </w:pPr>
      <w:bookmarkStart w:id="6" w:name="_Ref318124402"/>
      <w:r w:rsidRPr="005F5CD1">
        <w:t>§</w:t>
      </w:r>
      <w:bookmarkEnd w:id="6"/>
    </w:p>
    <w:p w:rsidR="00C03B8F" w:rsidRPr="005F5CD1" w:rsidRDefault="00C03B8F" w:rsidP="0031321A">
      <w:pPr>
        <w:pStyle w:val="Bek2"/>
      </w:pPr>
      <w:r w:rsidRPr="005F5CD1">
        <w:t xml:space="preserve">A megváltozott munkaképességű személyek ellátásaival kapcsolatos eljárási szabályokról szóló </w:t>
      </w:r>
      <w:r w:rsidRPr="005F5CD1">
        <w:rPr>
          <w:szCs w:val="20"/>
        </w:rPr>
        <w:t xml:space="preserve">327/2011. (XII. 29.) Korm. rendelet </w:t>
      </w:r>
      <w:r w:rsidRPr="005F5CD1">
        <w:t>2. § (2) bekezdésében a „Központi Nyugdíjnyilvántartó és Informatikai Igazgatóság” szövegrész helyébe a „Nyugdíjfolyósító Igazgatóság” szöveg lép.</w:t>
      </w:r>
    </w:p>
    <w:p w:rsidR="000329BE" w:rsidRPr="005F5CD1" w:rsidRDefault="000329BE" w:rsidP="000329BE">
      <w:pPr>
        <w:pStyle w:val="Alcmjsz"/>
      </w:pPr>
      <w:r w:rsidRPr="005F5CD1">
        <w:t xml:space="preserve">A korhatár előtti ellátás, a szolgálati járandóság, a balettművészeti életjáradék és az átmeneti bányászjáradék eljárási szabályairól, </w:t>
      </w:r>
      <w:r w:rsidRPr="005F5CD1">
        <w:rPr>
          <w:rFonts w:eastAsia="Calibri"/>
        </w:rPr>
        <w:t>valamint</w:t>
      </w:r>
      <w:r w:rsidRPr="005F5CD1">
        <w:t xml:space="preserve"> egyes kapcsolódó kormányrendeletek módosításáról szóló 333/2011. (XII. 29.) Korm. rendelet módosítása</w:t>
      </w:r>
    </w:p>
    <w:p w:rsidR="00DA737E" w:rsidRPr="005F5CD1" w:rsidRDefault="000329BE" w:rsidP="000329BE">
      <w:pPr>
        <w:pStyle w:val="Paragrafus"/>
      </w:pPr>
      <w:r w:rsidRPr="005F5CD1">
        <w:t>§</w:t>
      </w:r>
    </w:p>
    <w:p w:rsidR="000329BE" w:rsidRPr="005F5CD1" w:rsidRDefault="000329BE" w:rsidP="00143A8C">
      <w:pPr>
        <w:tabs>
          <w:tab w:val="left" w:pos="540"/>
          <w:tab w:val="left" w:pos="567"/>
        </w:tabs>
        <w:spacing w:before="240"/>
        <w:ind w:firstLine="567"/>
        <w:jc w:val="both"/>
      </w:pPr>
      <w:r w:rsidRPr="005F5CD1">
        <w:rPr>
          <w:rFonts w:eastAsia="Calibri"/>
        </w:rPr>
        <w:t xml:space="preserve">A </w:t>
      </w:r>
      <w:r w:rsidRPr="005F5CD1">
        <w:t>korhatár előtti ellátás, a szolgálati járandóság, a balettművészeti életjáradék és az átmeneti bányászjáradék eljárási szabályairól, valamint egyes kapcsolódó kormányrendeletek módosításáról</w:t>
      </w:r>
      <w:r w:rsidRPr="005F5CD1">
        <w:rPr>
          <w:rFonts w:eastAsia="Calibri"/>
        </w:rPr>
        <w:t xml:space="preserve"> szóló </w:t>
      </w:r>
      <w:r w:rsidRPr="005F5CD1">
        <w:t>333/2011. (XII. 29.) Korm. rendelet 5. alcíme a következő 14/</w:t>
      </w:r>
      <w:proofErr w:type="gramStart"/>
      <w:r w:rsidRPr="005F5CD1">
        <w:t>A</w:t>
      </w:r>
      <w:proofErr w:type="gramEnd"/>
      <w:r w:rsidRPr="005F5CD1">
        <w:t>. §</w:t>
      </w:r>
      <w:proofErr w:type="spellStart"/>
      <w:r w:rsidRPr="005F5CD1">
        <w:t>-sal</w:t>
      </w:r>
      <w:proofErr w:type="spellEnd"/>
      <w:r w:rsidRPr="005F5CD1">
        <w:t xml:space="preserve"> egészül ki:</w:t>
      </w:r>
    </w:p>
    <w:p w:rsidR="004D3FED" w:rsidRPr="005F5CD1" w:rsidRDefault="004D3FED" w:rsidP="004D3FED">
      <w:pPr>
        <w:tabs>
          <w:tab w:val="left" w:pos="540"/>
          <w:tab w:val="left" w:pos="567"/>
        </w:tabs>
        <w:spacing w:before="240"/>
        <w:ind w:firstLine="567"/>
        <w:jc w:val="both"/>
      </w:pPr>
      <w:r w:rsidRPr="005F5CD1">
        <w:t xml:space="preserve">„14/A. § (1) A megállapító szerv 2012. május 31-éig felhívja a korengedményes nyugdíjba vonulás lehetőségének meghosszabbításáról szóló 283/2009. (XII. 11.) Korm. rendelet </w:t>
      </w:r>
      <w:r w:rsidR="004443E4" w:rsidRPr="005F5CD1">
        <w:t xml:space="preserve">2011. december 31-én hatályos </w:t>
      </w:r>
      <w:r w:rsidRPr="005F5CD1">
        <w:t xml:space="preserve">1. § (2) bekezdése szerint kötelezettséget vállalt munkáltatót, hogy 2012. július 15-éig nyilatkozzon arról, a </w:t>
      </w:r>
      <w:r w:rsidR="00CA133C" w:rsidRPr="005F5CD1">
        <w:t xml:space="preserve">kötelezettséggel érintett, </w:t>
      </w:r>
      <w:r w:rsidRPr="005F5CD1">
        <w:t>korhatár előtti ellátásban részesülő személy 2012. július 1-jén áll-e vele a társadalombiztosítás ellátásaira és a magánnyugdíjra jogosultakról, valamint e szolgáltatások fedezetéről szóló 1997. évi LXXX. törvény szerinti biztosítással járó jogviszonyban.</w:t>
      </w:r>
      <w:r w:rsidR="00F439BF" w:rsidRPr="005F5CD1">
        <w:t xml:space="preserve"> Ha a megállapodást megkötő munkáltató úgy nyilatkozik, hogy a kötelezettséggel érintett, korhatár előtti ellátásban részesülő személy vele a társadalombiztosítás ellátásaira és a magánnyugdíjra jogosultakról, valamint e szolgáltatások fedezetéről szóló 1997. évi LXXX. törvény szerinti biztosítással járó jogviszonyban áll, a nyilatkozat mellé csatolja az azt alátámasztó okirat másolatát.</w:t>
      </w:r>
    </w:p>
    <w:p w:rsidR="006B785B" w:rsidRPr="005F5CD1" w:rsidRDefault="006B785B" w:rsidP="006B785B">
      <w:pPr>
        <w:tabs>
          <w:tab w:val="left" w:pos="540"/>
          <w:tab w:val="left" w:pos="567"/>
        </w:tabs>
        <w:spacing w:before="240"/>
        <w:ind w:firstLine="567"/>
        <w:jc w:val="both"/>
      </w:pPr>
      <w:r w:rsidRPr="005F5CD1">
        <w:t>(</w:t>
      </w:r>
      <w:r w:rsidR="00F439BF" w:rsidRPr="005F5CD1">
        <w:t>2</w:t>
      </w:r>
      <w:r w:rsidRPr="005F5CD1">
        <w:t>) Ha a</w:t>
      </w:r>
      <w:r w:rsidR="00EC22C0" w:rsidRPr="005F5CD1">
        <w:t xml:space="preserve"> megállapító szerv megállapítja, hogy </w:t>
      </w:r>
      <w:r w:rsidR="004D3FED" w:rsidRPr="005F5CD1">
        <w:t xml:space="preserve">a korengedményes nyugdíjba vonulás lehetőségének meghosszabbításáról szóló 283/2009. (XII. 11.) Korm. rendelet </w:t>
      </w:r>
      <w:r w:rsidR="004443E4" w:rsidRPr="005F5CD1">
        <w:t xml:space="preserve">2011. december 31-én hatályos </w:t>
      </w:r>
      <w:r w:rsidR="004D3FED" w:rsidRPr="005F5CD1">
        <w:t xml:space="preserve">1. § (2) bekezdése </w:t>
      </w:r>
      <w:r w:rsidR="00EC22C0" w:rsidRPr="005F5CD1">
        <w:t xml:space="preserve">szerinti semmisségi ok </w:t>
      </w:r>
      <w:r w:rsidRPr="005F5CD1">
        <w:t xml:space="preserve">fennáll, és a biztosított </w:t>
      </w:r>
      <w:r w:rsidR="00C03B8F" w:rsidRPr="005F5CD1">
        <w:t xml:space="preserve">a korengedményes nyugdíj megállapítása során </w:t>
      </w:r>
      <w:r w:rsidRPr="005F5CD1">
        <w:t>az előrehozott öregségi nyugdíj, illetve a csökkentett összegű előrehozott öregségi nyugdíj igénybevételéhez</w:t>
      </w:r>
      <w:r w:rsidR="00C03B8F" w:rsidRPr="005F5CD1">
        <w:t xml:space="preserve"> szükségesként</w:t>
      </w:r>
      <w:r w:rsidRPr="005F5CD1">
        <w:t xml:space="preserve"> figyelembe vett életkort 2012. június 30-áig nem töl</w:t>
      </w:r>
      <w:r w:rsidR="00EC22C0" w:rsidRPr="005F5CD1">
        <w:t>tötte</w:t>
      </w:r>
      <w:r w:rsidRPr="005F5CD1">
        <w:t xml:space="preserve"> be, a megállapító szerv</w:t>
      </w:r>
      <w:r w:rsidR="00EC22C0" w:rsidRPr="005F5CD1">
        <w:t xml:space="preserve"> 2012. augusztus 15-éig</w:t>
      </w:r>
    </w:p>
    <w:p w:rsidR="006B785B" w:rsidRPr="005F5CD1" w:rsidRDefault="006B785B" w:rsidP="00EC22C0">
      <w:pPr>
        <w:pStyle w:val="Pont"/>
        <w:numPr>
          <w:ilvl w:val="2"/>
          <w:numId w:val="35"/>
        </w:numPr>
      </w:pPr>
      <w:r w:rsidRPr="005F5CD1">
        <w:t>a korhatár előtti ellátást a biztosítással járó jogviszony létrejöttének időpontjától kezdődően megszünteti,</w:t>
      </w:r>
    </w:p>
    <w:p w:rsidR="006B785B" w:rsidRPr="005F5CD1" w:rsidRDefault="006B785B" w:rsidP="006B785B">
      <w:pPr>
        <w:pStyle w:val="Pont"/>
      </w:pPr>
      <w:r w:rsidRPr="005F5CD1">
        <w:t xml:space="preserve">elrendeli az </w:t>
      </w:r>
      <w:r w:rsidRPr="005F5CD1">
        <w:rPr>
          <w:i/>
        </w:rPr>
        <w:t>a)</w:t>
      </w:r>
      <w:r w:rsidRPr="005F5CD1">
        <w:t xml:space="preserve"> pont szerinti időpontot követő </w:t>
      </w:r>
      <w:r w:rsidR="00144CF0" w:rsidRPr="005F5CD1">
        <w:rPr>
          <w:szCs w:val="24"/>
        </w:rPr>
        <w:t xml:space="preserve">időszakra </w:t>
      </w:r>
      <w:r w:rsidRPr="005F5CD1">
        <w:t>folyósított korhatár előtti ellátás visszafizetését, és</w:t>
      </w:r>
    </w:p>
    <w:p w:rsidR="00EC22C0" w:rsidRPr="005F5CD1" w:rsidRDefault="00F439BF" w:rsidP="00EC22C0">
      <w:pPr>
        <w:pStyle w:val="Pont"/>
        <w:rPr>
          <w:szCs w:val="24"/>
        </w:rPr>
      </w:pPr>
      <w:r w:rsidRPr="005F5CD1">
        <w:t xml:space="preserve">elrendeli, hogy a Nyugdíjfolyósító Igazgatóság </w:t>
      </w:r>
      <w:r w:rsidR="00EC22C0" w:rsidRPr="005F5CD1">
        <w:t xml:space="preserve">a megállapodást megkötő munkáltató által a korengedményes nyugdíjazás érdekében befizetett összegnek </w:t>
      </w:r>
      <w:r w:rsidR="00144CF0" w:rsidRPr="005F5CD1">
        <w:t xml:space="preserve">az </w:t>
      </w:r>
      <w:r w:rsidR="00144CF0" w:rsidRPr="005F5CD1">
        <w:rPr>
          <w:i/>
        </w:rPr>
        <w:t>a)</w:t>
      </w:r>
      <w:r w:rsidR="00144CF0" w:rsidRPr="005F5CD1">
        <w:t xml:space="preserve"> pont szerinti időpontot követő </w:t>
      </w:r>
      <w:r w:rsidR="00144CF0" w:rsidRPr="005F5CD1">
        <w:rPr>
          <w:szCs w:val="24"/>
        </w:rPr>
        <w:t xml:space="preserve">időszakra </w:t>
      </w:r>
      <w:r w:rsidR="00EC22C0" w:rsidRPr="005F5CD1">
        <w:rPr>
          <w:szCs w:val="24"/>
        </w:rPr>
        <w:t>esedékes összeg</w:t>
      </w:r>
      <w:r w:rsidRPr="005F5CD1">
        <w:rPr>
          <w:szCs w:val="24"/>
        </w:rPr>
        <w:t>ét a</w:t>
      </w:r>
      <w:r w:rsidR="001A7494" w:rsidRPr="005F5CD1">
        <w:rPr>
          <w:szCs w:val="24"/>
        </w:rPr>
        <w:t xml:space="preserve"> munkáltatónak</w:t>
      </w:r>
      <w:r w:rsidRPr="005F5CD1">
        <w:rPr>
          <w:szCs w:val="24"/>
        </w:rPr>
        <w:t xml:space="preserve"> fizesse vissza</w:t>
      </w:r>
      <w:r w:rsidR="00EC22C0" w:rsidRPr="005F5CD1">
        <w:rPr>
          <w:szCs w:val="24"/>
        </w:rPr>
        <w:t>.</w:t>
      </w:r>
      <w:r w:rsidR="00144CF0" w:rsidRPr="005F5CD1">
        <w:rPr>
          <w:szCs w:val="24"/>
        </w:rPr>
        <w:t>”</w:t>
      </w:r>
    </w:p>
    <w:p w:rsidR="000329BE" w:rsidRPr="005F5CD1" w:rsidRDefault="00144CF0" w:rsidP="00144CF0">
      <w:pPr>
        <w:pStyle w:val="Paragrafus"/>
      </w:pPr>
      <w:bookmarkStart w:id="7" w:name="_Ref318117009"/>
      <w:r w:rsidRPr="005F5CD1">
        <w:lastRenderedPageBreak/>
        <w:t>§</w:t>
      </w:r>
      <w:bookmarkEnd w:id="7"/>
    </w:p>
    <w:p w:rsidR="000329BE" w:rsidRPr="005F5CD1" w:rsidRDefault="00144CF0" w:rsidP="0047597A">
      <w:pPr>
        <w:pStyle w:val="Bek2"/>
      </w:pPr>
      <w:r w:rsidRPr="005F5CD1">
        <w:t xml:space="preserve">A </w:t>
      </w:r>
      <w:r w:rsidR="0031321A" w:rsidRPr="005F5CD1">
        <w:t>korhatár előtti ellátás, a szolgálati járandóság, a balettművészeti életjáradék és az átmeneti bányászjáradék eljárási szabályairól, valamint egyes kapcsolódó kormányrendeletek módosításáról</w:t>
      </w:r>
      <w:r w:rsidR="0031321A" w:rsidRPr="005F5CD1">
        <w:rPr>
          <w:rFonts w:eastAsia="Calibri"/>
        </w:rPr>
        <w:t xml:space="preserve"> szóló </w:t>
      </w:r>
      <w:r w:rsidR="0031321A" w:rsidRPr="005F5CD1">
        <w:t xml:space="preserve">333/2011. (XII. 29.) Korm. rendelet </w:t>
      </w:r>
      <w:r w:rsidRPr="005F5CD1">
        <w:t xml:space="preserve">1. § (2) bekezdésében a „Központi Nyugdíjnyilvántartó és Informatikai Igazgatóság” szövegrész helyébe a </w:t>
      </w:r>
      <w:r w:rsidR="0047597A" w:rsidRPr="005F5CD1">
        <w:t>„Nyugdíjfolyósító Igazgatóság” szöveg lép.</w:t>
      </w:r>
    </w:p>
    <w:p w:rsidR="00790420" w:rsidRPr="005F5CD1" w:rsidRDefault="00790420" w:rsidP="00790420">
      <w:pPr>
        <w:pStyle w:val="Alcmjsz"/>
      </w:pPr>
      <w:r w:rsidRPr="005F5CD1">
        <w:t>A terhességi-gyermekágyi segélyben és gyermekgondozási díjban részesülők számára nyújtott jövedelempótlékról szóló 6/2012. (II. 1.) Korm. rendelet módosítása</w:t>
      </w:r>
    </w:p>
    <w:p w:rsidR="00790420" w:rsidRPr="005F5CD1" w:rsidRDefault="00790420" w:rsidP="00790420">
      <w:pPr>
        <w:pStyle w:val="Paragrafus"/>
      </w:pPr>
      <w:r w:rsidRPr="005F5CD1">
        <w:t>§</w:t>
      </w:r>
    </w:p>
    <w:p w:rsidR="00650240" w:rsidRPr="005F5CD1" w:rsidRDefault="00650240" w:rsidP="00650240">
      <w:pPr>
        <w:pStyle w:val="Bek2"/>
      </w:pPr>
      <w:r w:rsidRPr="005F5CD1">
        <w:t xml:space="preserve">A terhességi-gyermekágyi segélyben és gyermekgondozási díjban részesülők számára nyújtott jövedelempótlékról szóló 6/2012. (II. 1.) Korm. rendelet 7. § </w:t>
      </w:r>
      <w:r w:rsidRPr="005F5CD1">
        <w:rPr>
          <w:i/>
        </w:rPr>
        <w:t>a)</w:t>
      </w:r>
      <w:r w:rsidRPr="005F5CD1">
        <w:t xml:space="preserve"> pontja helyébe a következő rendelkezés lép:</w:t>
      </w:r>
    </w:p>
    <w:p w:rsidR="00650240" w:rsidRPr="005F5CD1" w:rsidRDefault="00650240" w:rsidP="00650240">
      <w:pPr>
        <w:pStyle w:val="Felvezet"/>
      </w:pPr>
      <w:r w:rsidRPr="005F5CD1">
        <w:t>(Az Igénylő nem jogosult jövedelempótlékra, ha)</w:t>
      </w:r>
    </w:p>
    <w:p w:rsidR="00650240" w:rsidRPr="005F5CD1" w:rsidRDefault="00650240" w:rsidP="00650240">
      <w:pPr>
        <w:pStyle w:val="Bek2"/>
      </w:pPr>
      <w:r w:rsidRPr="005F5CD1">
        <w:t>„</w:t>
      </w:r>
      <w:r w:rsidRPr="005F5CD1">
        <w:rPr>
          <w:i/>
        </w:rPr>
        <w:t>a)</w:t>
      </w:r>
      <w:r w:rsidRPr="005F5CD1">
        <w:t xml:space="preserve"> az Szja tv. 29/A. §</w:t>
      </w:r>
      <w:proofErr w:type="spellStart"/>
      <w:r w:rsidRPr="005F5CD1">
        <w:t>-ában</w:t>
      </w:r>
      <w:proofErr w:type="spellEnd"/>
      <w:r w:rsidRPr="005F5CD1">
        <w:t xml:space="preserve"> és 29/B. §</w:t>
      </w:r>
      <w:proofErr w:type="spellStart"/>
      <w:r w:rsidRPr="005F5CD1">
        <w:t>-ában</w:t>
      </w:r>
      <w:proofErr w:type="spellEnd"/>
      <w:r w:rsidRPr="005F5CD1">
        <w:t xml:space="preserve"> foglalt családi kedvezményre 206</w:t>
      </w:r>
      <w:r w:rsidR="00E20F9E" w:rsidRPr="005F5CD1">
        <w:t> </w:t>
      </w:r>
      <w:r w:rsidRPr="005F5CD1">
        <w:t>250 forint vagy azt meghaladó összegben jogosult és a családi kedvezményt legalább egy kedvezményezett eltartott után érvényesíti</w:t>
      </w:r>
      <w:r w:rsidR="008468D8" w:rsidRPr="005F5CD1">
        <w:t>,</w:t>
      </w:r>
      <w:r w:rsidRPr="005F5CD1">
        <w:t xml:space="preserve"> vagy”</w:t>
      </w:r>
    </w:p>
    <w:p w:rsidR="001A7494" w:rsidRPr="005F5CD1" w:rsidRDefault="001A7494" w:rsidP="001A7494">
      <w:pPr>
        <w:pStyle w:val="Alcmjsz"/>
      </w:pPr>
      <w:r w:rsidRPr="005F5CD1">
        <w:t>Záró rendelkezések</w:t>
      </w:r>
    </w:p>
    <w:p w:rsidR="00BF657E" w:rsidRPr="005F5CD1" w:rsidRDefault="00BF657E" w:rsidP="00BF657E">
      <w:pPr>
        <w:pStyle w:val="Paragrafus"/>
        <w:rPr>
          <w:rFonts w:eastAsia="Calibri"/>
        </w:rPr>
      </w:pPr>
      <w:r w:rsidRPr="005F5CD1">
        <w:rPr>
          <w:rFonts w:eastAsia="Calibri"/>
        </w:rPr>
        <w:t>§</w:t>
      </w:r>
    </w:p>
    <w:p w:rsidR="0047597A" w:rsidRPr="005F5CD1" w:rsidRDefault="00BF657E" w:rsidP="0047597A">
      <w:pPr>
        <w:pStyle w:val="Bekezds"/>
        <w:rPr>
          <w:rFonts w:eastAsia="Calibri"/>
        </w:rPr>
      </w:pPr>
      <w:r w:rsidRPr="005F5CD1">
        <w:rPr>
          <w:rFonts w:eastAsia="Calibri"/>
        </w:rPr>
        <w:t xml:space="preserve">Ez a rendelet </w:t>
      </w:r>
      <w:r w:rsidR="0047597A" w:rsidRPr="005F5CD1">
        <w:rPr>
          <w:rFonts w:eastAsia="Calibri"/>
        </w:rPr>
        <w:t xml:space="preserve">– a (2) bekezdésben foglalt kivételekkel – </w:t>
      </w:r>
      <w:r w:rsidRPr="005F5CD1">
        <w:rPr>
          <w:rFonts w:eastAsia="Calibri"/>
        </w:rPr>
        <w:t>a kihirdetését követő</w:t>
      </w:r>
      <w:r w:rsidR="0047597A" w:rsidRPr="005F5CD1">
        <w:rPr>
          <w:rFonts w:eastAsia="Calibri"/>
        </w:rPr>
        <w:t xml:space="preserve"> harmadik</w:t>
      </w:r>
      <w:r w:rsidRPr="005F5CD1">
        <w:rPr>
          <w:rFonts w:eastAsia="Calibri"/>
        </w:rPr>
        <w:t xml:space="preserve"> napon lép hatályba</w:t>
      </w:r>
      <w:r w:rsidR="0047597A" w:rsidRPr="005F5CD1">
        <w:rPr>
          <w:rFonts w:eastAsia="Calibri"/>
        </w:rPr>
        <w:t>.</w:t>
      </w:r>
    </w:p>
    <w:p w:rsidR="0047597A" w:rsidRPr="005F5CD1" w:rsidRDefault="00186FF7" w:rsidP="0047597A">
      <w:pPr>
        <w:pStyle w:val="Bekezds"/>
        <w:rPr>
          <w:rFonts w:eastAsia="Calibri"/>
        </w:rPr>
      </w:pPr>
      <w:r w:rsidRPr="005F5CD1">
        <w:rPr>
          <w:rFonts w:eastAsia="Calibri"/>
        </w:rPr>
        <w:t xml:space="preserve">Az </w:t>
      </w:r>
      <w:fldSimple w:instr=" REF _Ref318116993 \n \h  \* MERGEFORMAT ">
        <w:r w:rsidR="00B13C4D">
          <w:rPr>
            <w:rFonts w:eastAsia="Calibri"/>
          </w:rPr>
          <w:t>1</w:t>
        </w:r>
      </w:fldSimple>
      <w:r w:rsidRPr="005F5CD1">
        <w:rPr>
          <w:rFonts w:eastAsia="Calibri"/>
        </w:rPr>
        <w:t xml:space="preserve">. §, a </w:t>
      </w:r>
      <w:fldSimple w:instr=" REF _Ref318116995 \n \h  \* MERGEFORMAT ">
        <w:r w:rsidR="00B13C4D">
          <w:rPr>
            <w:rFonts w:eastAsia="Calibri"/>
          </w:rPr>
          <w:t>2</w:t>
        </w:r>
      </w:fldSimple>
      <w:r w:rsidRPr="005F5CD1">
        <w:rPr>
          <w:rFonts w:eastAsia="Calibri"/>
        </w:rPr>
        <w:t xml:space="preserve">. §, a </w:t>
      </w:r>
      <w:fldSimple w:instr=" REF _Ref318117020 \n \h  \* MERGEFORMAT ">
        <w:r w:rsidR="00B13C4D">
          <w:rPr>
            <w:rFonts w:eastAsia="Calibri"/>
          </w:rPr>
          <w:t>4</w:t>
        </w:r>
      </w:fldSimple>
      <w:r w:rsidR="009D269C" w:rsidRPr="005F5CD1">
        <w:rPr>
          <w:rFonts w:eastAsia="Calibri"/>
        </w:rPr>
        <w:t xml:space="preserve"> </w:t>
      </w:r>
      <w:r w:rsidRPr="005F5CD1">
        <w:rPr>
          <w:rFonts w:eastAsia="Calibri"/>
        </w:rPr>
        <w:t xml:space="preserve">§ </w:t>
      </w:r>
      <w:fldSimple w:instr=" REF _Ref318117000 \n \h  \* MERGEFORMAT ">
        <w:r w:rsidR="00B13C4D">
          <w:rPr>
            <w:rFonts w:eastAsia="Calibri"/>
          </w:rPr>
          <w:t>(2)</w:t>
        </w:r>
      </w:fldSimple>
      <w:r w:rsidRPr="005F5CD1">
        <w:rPr>
          <w:rFonts w:eastAsia="Calibri"/>
        </w:rPr>
        <w:t xml:space="preserve"> bekezdése</w:t>
      </w:r>
      <w:r w:rsidR="009D269C" w:rsidRPr="005F5CD1">
        <w:rPr>
          <w:rFonts w:eastAsia="Calibri"/>
        </w:rPr>
        <w:t xml:space="preserve">, az </w:t>
      </w:r>
      <w:fldSimple w:instr=" REF _Ref318124399 \n \h  \* MERGEFORMAT ">
        <w:r w:rsidR="00B13C4D">
          <w:rPr>
            <w:rFonts w:eastAsia="Calibri"/>
          </w:rPr>
          <w:t>5</w:t>
        </w:r>
      </w:fldSimple>
      <w:r w:rsidR="009D269C" w:rsidRPr="005F5CD1">
        <w:rPr>
          <w:rFonts w:eastAsia="Calibri"/>
        </w:rPr>
        <w:t xml:space="preserve">. §, a </w:t>
      </w:r>
      <w:fldSimple w:instr=" REF _Ref318124402 \n \h  \* MERGEFORMAT ">
        <w:r w:rsidR="00B13C4D">
          <w:rPr>
            <w:rFonts w:eastAsia="Calibri"/>
          </w:rPr>
          <w:t>14</w:t>
        </w:r>
      </w:fldSimple>
      <w:r w:rsidR="009D269C" w:rsidRPr="005F5CD1">
        <w:rPr>
          <w:rFonts w:eastAsia="Calibri"/>
        </w:rPr>
        <w:t>. §</w:t>
      </w:r>
      <w:r w:rsidRPr="005F5CD1">
        <w:rPr>
          <w:rFonts w:eastAsia="Calibri"/>
        </w:rPr>
        <w:t xml:space="preserve"> és a </w:t>
      </w:r>
      <w:fldSimple w:instr=" REF _Ref318117009 \n \h  \* MERGEFORMAT ">
        <w:r w:rsidR="00B13C4D">
          <w:rPr>
            <w:rFonts w:eastAsia="Calibri"/>
          </w:rPr>
          <w:t>16</w:t>
        </w:r>
      </w:fldSimple>
      <w:r w:rsidRPr="005F5CD1">
        <w:rPr>
          <w:rFonts w:eastAsia="Calibri"/>
        </w:rPr>
        <w:t>. § 2012. május 1-jén lép hatályba.</w:t>
      </w:r>
    </w:p>
    <w:p w:rsidR="00186FF7" w:rsidRPr="005F5CD1" w:rsidRDefault="00186FF7" w:rsidP="0047597A">
      <w:pPr>
        <w:pStyle w:val="Bekezds"/>
        <w:rPr>
          <w:rFonts w:eastAsia="Calibri"/>
        </w:rPr>
      </w:pPr>
      <w:r w:rsidRPr="005F5CD1">
        <w:rPr>
          <w:rFonts w:eastAsia="Calibri"/>
        </w:rPr>
        <w:t>Ez a rendelet 2012. május 2-án hatályát veszti.</w:t>
      </w:r>
    </w:p>
    <w:p w:rsidR="00186FF7" w:rsidRPr="005F5CD1" w:rsidRDefault="00186FF7" w:rsidP="00186FF7">
      <w:pPr>
        <w:pageBreakBefore/>
        <w:jc w:val="right"/>
        <w:rPr>
          <w:i/>
        </w:rPr>
      </w:pPr>
      <w:r w:rsidRPr="005F5CD1">
        <w:rPr>
          <w:i/>
        </w:rPr>
        <w:lastRenderedPageBreak/>
        <w:t xml:space="preserve">1. melléklet </w:t>
      </w:r>
      <w:proofErr w:type="gramStart"/>
      <w:r w:rsidRPr="005F5CD1">
        <w:rPr>
          <w:i/>
        </w:rPr>
        <w:t>a …</w:t>
      </w:r>
      <w:proofErr w:type="gramEnd"/>
      <w:r w:rsidRPr="005F5CD1">
        <w:rPr>
          <w:i/>
        </w:rPr>
        <w:t>/2012. (III. …) Korm. rendelethez</w:t>
      </w:r>
    </w:p>
    <w:p w:rsidR="00186FF7" w:rsidRPr="005F5CD1" w:rsidRDefault="00186FF7" w:rsidP="00186FF7"/>
    <w:p w:rsidR="00186FF7" w:rsidRPr="005F5CD1" w:rsidRDefault="00186FF7" w:rsidP="00186FF7"/>
    <w:p w:rsidR="00186FF7" w:rsidRPr="005F5CD1" w:rsidRDefault="00186FF7" w:rsidP="00186FF7">
      <w:pPr>
        <w:rPr>
          <w:i/>
        </w:rPr>
      </w:pPr>
      <w:r w:rsidRPr="005F5CD1">
        <w:rPr>
          <w:i/>
        </w:rPr>
        <w:t>„2. melléklet a 168/1997. (X. 6.) Korm. rendelethez</w:t>
      </w:r>
    </w:p>
    <w:p w:rsidR="00186FF7" w:rsidRPr="005F5CD1" w:rsidRDefault="00186FF7" w:rsidP="00186FF7">
      <w:pPr>
        <w:jc w:val="center"/>
        <w:rPr>
          <w:b/>
        </w:rPr>
      </w:pPr>
    </w:p>
    <w:p w:rsidR="00186FF7" w:rsidRPr="005F5CD1" w:rsidRDefault="00186FF7" w:rsidP="00186FF7">
      <w:pPr>
        <w:jc w:val="center"/>
        <w:rPr>
          <w:b/>
        </w:rPr>
      </w:pPr>
    </w:p>
    <w:p w:rsidR="00186FF7" w:rsidRPr="005F5CD1" w:rsidRDefault="00186FF7" w:rsidP="00186FF7">
      <w:pPr>
        <w:jc w:val="center"/>
        <w:rPr>
          <w:b/>
        </w:rPr>
      </w:pPr>
      <w:r w:rsidRPr="005F5CD1">
        <w:rPr>
          <w:b/>
        </w:rPr>
        <w:t>A keresetek beszámításához alkalmazandó valorizációs szorzószámok 201</w:t>
      </w:r>
      <w:r w:rsidR="001A7494" w:rsidRPr="005F5CD1">
        <w:rPr>
          <w:b/>
        </w:rPr>
        <w:t>2</w:t>
      </w:r>
      <w:r w:rsidRPr="005F5CD1">
        <w:rPr>
          <w:b/>
        </w:rPr>
        <w:t>. január 1-je és december 31-e közötti időponttól megállapításra kerülő nyugellátások esetén</w:t>
      </w:r>
    </w:p>
    <w:p w:rsidR="00186FF7" w:rsidRPr="005F5CD1" w:rsidRDefault="00186FF7" w:rsidP="00186FF7">
      <w:pPr>
        <w:jc w:val="center"/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6"/>
        <w:gridCol w:w="3402"/>
        <w:gridCol w:w="3402"/>
        <w:gridCol w:w="287"/>
      </w:tblGrid>
      <w:tr w:rsidR="00186FF7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rPr>
                <w:b/>
              </w:rPr>
            </w:pPr>
            <w:r w:rsidRPr="005F5CD1"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</w:rPr>
            </w:pPr>
            <w:r w:rsidRPr="005F5CD1">
              <w:rPr>
                <w:b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</w:rPr>
            </w:pPr>
            <w:r w:rsidRPr="005F5CD1">
              <w:rPr>
                <w:b/>
              </w:rPr>
              <w:t>B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</w:rPr>
            </w:pPr>
          </w:p>
        </w:tc>
      </w:tr>
      <w:tr w:rsidR="00186FF7" w:rsidRPr="005F5CD1" w:rsidTr="00186FF7">
        <w:trPr>
          <w:jc w:val="center"/>
        </w:trPr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1.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</w:rPr>
            </w:pPr>
            <w:r w:rsidRPr="005F5CD1">
              <w:rPr>
                <w:b/>
              </w:rPr>
              <w:t>Év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</w:rPr>
            </w:pPr>
            <w:r w:rsidRPr="005F5CD1">
              <w:rPr>
                <w:b/>
              </w:rPr>
              <w:t>Szorzószám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</w:rPr>
            </w:pPr>
          </w:p>
        </w:tc>
      </w:tr>
      <w:tr w:rsidR="00186FF7" w:rsidRPr="005F5CD1" w:rsidTr="00186FF7">
        <w:trPr>
          <w:jc w:val="center"/>
        </w:trPr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2.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1950.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FF7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215,975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86FF7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FF7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202,253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86FF7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FF7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159,164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86FF7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FF7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149,878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86FF7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FF7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136,852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86FF7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FF7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130,161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86FF7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FF7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120,321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86FF7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FF7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103,339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86FF7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FF7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101,057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86FF7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FF7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96,910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86FF7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FF7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94,655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86FF7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FF7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93,387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86FF7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FF7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91,121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86FF7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FF7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87,683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86FF7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FF7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84,888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FF7" w:rsidRPr="005F5CD1" w:rsidRDefault="00186FF7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84,593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80,589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78,097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76,465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73,289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68,779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65,755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62,386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58,141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53,985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50,642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48,323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44,951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41,622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39,564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37,431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35,146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33,001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31,580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28,171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25,774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23,909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lastRenderedPageBreak/>
              <w:t>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1987.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22,016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20,051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17,152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14,105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11,239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9,266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7,872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6,184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1995.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5,492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4,678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1997.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3,770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3,184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1999.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2,825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2000.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2,536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2001.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2,182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2002.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1,825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2003.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1,596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2004.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1,510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2005.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1,372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2006.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1,275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2007.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1,238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2008.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1,157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2009.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1,136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1A7494" w:rsidRPr="005F5CD1" w:rsidTr="00186F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334"/>
              <w:jc w:val="right"/>
              <w:rPr>
                <w:b/>
              </w:rPr>
            </w:pPr>
            <w:r w:rsidRPr="005F5CD1">
              <w:rPr>
                <w:b/>
              </w:rPr>
              <w:t>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2010.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494" w:rsidRPr="005F5CD1" w:rsidRDefault="001A7494" w:rsidP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1,064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7494" w:rsidRPr="005F5CD1" w:rsidRDefault="001A749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5F5CD1">
              <w:t>”</w:t>
            </w:r>
          </w:p>
        </w:tc>
      </w:tr>
    </w:tbl>
    <w:p w:rsidR="00186FF7" w:rsidRPr="005F5CD1" w:rsidRDefault="00186FF7" w:rsidP="00186FF7">
      <w:pPr>
        <w:rPr>
          <w:sz w:val="2"/>
          <w:szCs w:val="2"/>
          <w:lang w:eastAsia="en-US"/>
        </w:rPr>
      </w:pPr>
    </w:p>
    <w:sectPr w:rsidR="00186FF7" w:rsidRPr="005F5CD1" w:rsidSect="002836DC">
      <w:headerReference w:type="default" r:id="rId8"/>
      <w:headerReference w:type="first" r:id="rId9"/>
      <w:pgSz w:w="11906" w:h="16838"/>
      <w:pgMar w:top="1134" w:right="964" w:bottom="964" w:left="96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207" w:rsidRDefault="00970207">
      <w:r>
        <w:separator/>
      </w:r>
    </w:p>
  </w:endnote>
  <w:endnote w:type="continuationSeparator" w:id="0">
    <w:p w:rsidR="00970207" w:rsidRDefault="0097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207" w:rsidRDefault="00970207">
      <w:r>
        <w:separator/>
      </w:r>
    </w:p>
  </w:footnote>
  <w:footnote w:type="continuationSeparator" w:id="0">
    <w:p w:rsidR="00970207" w:rsidRDefault="0097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54" w:rsidRDefault="00DC2156" w:rsidP="007F2D1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5035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642A4">
      <w:rPr>
        <w:rStyle w:val="Oldalszm"/>
        <w:noProof/>
      </w:rPr>
      <w:t>9</w:t>
    </w:r>
    <w:r>
      <w:rPr>
        <w:rStyle w:val="Oldalszm"/>
      </w:rPr>
      <w:fldChar w:fldCharType="end"/>
    </w:r>
  </w:p>
  <w:p w:rsidR="00D50354" w:rsidRDefault="00D50354" w:rsidP="00CE41B8">
    <w:pPr>
      <w:pStyle w:val="lfej"/>
      <w:jc w:val="center"/>
    </w:pPr>
  </w:p>
  <w:p w:rsidR="00D50354" w:rsidRDefault="00D50354" w:rsidP="00CE41B8">
    <w:pPr>
      <w:pStyle w:val="lfej"/>
      <w:jc w:val="center"/>
    </w:pPr>
  </w:p>
  <w:p w:rsidR="00D50354" w:rsidRDefault="00D50354" w:rsidP="00114801">
    <w:pPr>
      <w:pStyle w:val="lfej"/>
      <w:jc w:val="center"/>
      <w:rPr>
        <w:color w:val="808080"/>
        <w:sz w:val="20"/>
      </w:rPr>
    </w:pPr>
    <w:r w:rsidRPr="00B61B3C">
      <w:rPr>
        <w:color w:val="808080"/>
        <w:sz w:val="20"/>
      </w:rPr>
      <w:t xml:space="preserve">Az előterjesztést a Kormány nem tárgyalta meg, ezért </w:t>
    </w:r>
    <w:proofErr w:type="gramStart"/>
    <w:r w:rsidRPr="00B61B3C">
      <w:rPr>
        <w:color w:val="808080"/>
        <w:sz w:val="20"/>
      </w:rPr>
      <w:t>az</w:t>
    </w:r>
    <w:proofErr w:type="gramEnd"/>
    <w:r w:rsidRPr="00B61B3C">
      <w:rPr>
        <w:color w:val="808080"/>
        <w:sz w:val="20"/>
      </w:rPr>
      <w:t xml:space="preserve"> nem tekinthető a Kormány álláspontjának.</w:t>
    </w:r>
  </w:p>
  <w:p w:rsidR="00D50354" w:rsidRPr="005F6DEA" w:rsidRDefault="00D50354" w:rsidP="00114801">
    <w:pPr>
      <w:pStyle w:val="lfej"/>
      <w:jc w:val="center"/>
      <w:rPr>
        <w:color w:val="808080"/>
        <w:sz w:val="20"/>
      </w:rPr>
    </w:pPr>
    <w:r>
      <w:rPr>
        <w:color w:val="808080"/>
        <w:sz w:val="20"/>
      </w:rPr>
      <w:t>----------------------------------------------------------------------------------------------------------------------------------------</w:t>
    </w:r>
  </w:p>
  <w:p w:rsidR="00D50354" w:rsidRPr="00B61B3C" w:rsidRDefault="00D50354" w:rsidP="00CE41B8">
    <w:pPr>
      <w:pStyle w:val="lfej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54" w:rsidRDefault="00D50354" w:rsidP="00B61B3C">
    <w:pPr>
      <w:pStyle w:val="lfej"/>
      <w:jc w:val="center"/>
      <w:rPr>
        <w:color w:val="808080"/>
        <w:sz w:val="20"/>
      </w:rPr>
    </w:pPr>
    <w:r w:rsidRPr="00B61B3C">
      <w:rPr>
        <w:color w:val="808080"/>
        <w:sz w:val="20"/>
      </w:rPr>
      <w:t xml:space="preserve">Az előterjesztést a Kormány nem tárgyalta meg, ezért </w:t>
    </w:r>
    <w:proofErr w:type="gramStart"/>
    <w:r w:rsidRPr="00B61B3C">
      <w:rPr>
        <w:color w:val="808080"/>
        <w:sz w:val="20"/>
      </w:rPr>
      <w:t>az</w:t>
    </w:r>
    <w:proofErr w:type="gramEnd"/>
    <w:r w:rsidRPr="00B61B3C">
      <w:rPr>
        <w:color w:val="808080"/>
        <w:sz w:val="20"/>
      </w:rPr>
      <w:t xml:space="preserve"> nem tekinthető a Kormány álláspontjának.</w:t>
    </w:r>
  </w:p>
  <w:p w:rsidR="00D50354" w:rsidRPr="005F6DEA" w:rsidRDefault="00D50354" w:rsidP="00B61B3C">
    <w:pPr>
      <w:pStyle w:val="lfej"/>
      <w:jc w:val="center"/>
      <w:rPr>
        <w:color w:val="808080"/>
        <w:sz w:val="20"/>
      </w:rPr>
    </w:pPr>
    <w:r>
      <w:rPr>
        <w:color w:val="808080"/>
        <w:sz w:val="20"/>
      </w:rPr>
      <w:t>----------------------------------------------------------------------------------------------------------------------------------------</w:t>
    </w:r>
  </w:p>
  <w:p w:rsidR="00D50354" w:rsidRPr="00B61B3C" w:rsidRDefault="00D50354" w:rsidP="00B61B3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1995"/>
    <w:multiLevelType w:val="hybridMultilevel"/>
    <w:tmpl w:val="3E362F64"/>
    <w:lvl w:ilvl="0" w:tplc="EDFC66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186471C1"/>
    <w:multiLevelType w:val="hybridMultilevel"/>
    <w:tmpl w:val="88221C04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95D4B77"/>
    <w:multiLevelType w:val="multilevel"/>
    <w:tmpl w:val="7984266A"/>
    <w:lvl w:ilvl="0">
      <w:start w:val="1"/>
      <w:numFmt w:val="decimal"/>
      <w:pStyle w:val="Paragrafus"/>
      <w:suff w:val="space"/>
      <w:lvlText w:val="%1."/>
      <w:lvlJc w:val="center"/>
      <w:pPr>
        <w:ind w:left="0" w:firstLine="0"/>
      </w:pPr>
      <w:rPr>
        <w:rFonts w:ascii="Times New Roman félkövér" w:hAnsi="Times New Roman félkövér" w:hint="default"/>
        <w:b/>
        <w:i w:val="0"/>
        <w:sz w:val="24"/>
        <w:szCs w:val="28"/>
      </w:rPr>
    </w:lvl>
    <w:lvl w:ilvl="1">
      <w:start w:val="1"/>
      <w:numFmt w:val="decimal"/>
      <w:pStyle w:val="Bekezds"/>
      <w:suff w:val="space"/>
      <w:lvlText w:val="(%2)"/>
      <w:lvlJc w:val="left"/>
      <w:pPr>
        <w:ind w:left="0" w:firstLine="567"/>
      </w:pPr>
      <w:rPr>
        <w:rFonts w:ascii="Times New Roman" w:hAnsi="Times New Roman" w:hint="default"/>
        <w:sz w:val="24"/>
        <w:szCs w:val="28"/>
      </w:rPr>
    </w:lvl>
    <w:lvl w:ilvl="2">
      <w:start w:val="1"/>
      <w:numFmt w:val="lowerLetter"/>
      <w:pStyle w:val="Pont"/>
      <w:suff w:val="space"/>
      <w:lvlText w:val="%3)"/>
      <w:lvlJc w:val="left"/>
      <w:pPr>
        <w:ind w:left="0" w:firstLine="567"/>
      </w:pPr>
      <w:rPr>
        <w:rFonts w:ascii="Times New Roman" w:hAnsi="Times New Roman" w:hint="default"/>
        <w:b w:val="0"/>
        <w:i/>
        <w:sz w:val="24"/>
        <w:szCs w:val="28"/>
      </w:rPr>
    </w:lvl>
    <w:lvl w:ilvl="3">
      <w:start w:val="1"/>
      <w:numFmt w:val="lowerLetter"/>
      <w:pStyle w:val="Alpont"/>
      <w:suff w:val="space"/>
      <w:lvlText w:val="%3%4)"/>
      <w:lvlJc w:val="left"/>
      <w:pPr>
        <w:ind w:left="567" w:firstLine="284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794"/>
        </w:tabs>
        <w:ind w:left="567" w:firstLine="0"/>
      </w:pPr>
      <w:rPr>
        <w:rFonts w:ascii="Goudy Stout" w:hAnsi="Goudy Stout" w:hint="default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>
    <w:nsid w:val="1C2A3D50"/>
    <w:multiLevelType w:val="hybridMultilevel"/>
    <w:tmpl w:val="14BCF772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b w:val="0"/>
        <w:i w:val="0"/>
      </w:rPr>
    </w:lvl>
    <w:lvl w:ilvl="1" w:tplc="C310BEC4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4">
    <w:nsid w:val="1F4967F6"/>
    <w:multiLevelType w:val="hybridMultilevel"/>
    <w:tmpl w:val="323A5C28"/>
    <w:lvl w:ilvl="0" w:tplc="B478E9C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E254E"/>
    <w:multiLevelType w:val="hybridMultilevel"/>
    <w:tmpl w:val="9E9E91BA"/>
    <w:lvl w:ilvl="0" w:tplc="040E0003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6">
    <w:nsid w:val="2A6B08C0"/>
    <w:multiLevelType w:val="multilevel"/>
    <w:tmpl w:val="6A081146"/>
    <w:styleLink w:val="Alcmjsz3"/>
    <w:lvl w:ilvl="0">
      <w:start w:val="1"/>
      <w:numFmt w:val="decimal"/>
      <w:pStyle w:val="Alcmjsz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1D062AA"/>
    <w:multiLevelType w:val="hybridMultilevel"/>
    <w:tmpl w:val="A4CE1DC2"/>
    <w:lvl w:ilvl="0" w:tplc="EDFC66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53F23ED2"/>
    <w:multiLevelType w:val="hybridMultilevel"/>
    <w:tmpl w:val="6E10D81E"/>
    <w:lvl w:ilvl="0" w:tplc="CCD6B2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2E5BDF"/>
    <w:multiLevelType w:val="hybridMultilevel"/>
    <w:tmpl w:val="78D60F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954AEF"/>
    <w:multiLevelType w:val="multilevel"/>
    <w:tmpl w:val="6A081146"/>
    <w:numStyleLink w:val="Alcmjsz3"/>
  </w:abstractNum>
  <w:abstractNum w:abstractNumId="11">
    <w:nsid w:val="65966D64"/>
    <w:multiLevelType w:val="hybridMultilevel"/>
    <w:tmpl w:val="E8FCC336"/>
    <w:lvl w:ilvl="0" w:tplc="1518A8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B67AE14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F142387A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5CC9CE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6D0AF6C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3A96E53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8CA8849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719A89CC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C06C7D30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>
    <w:nsid w:val="6AAD48AF"/>
    <w:multiLevelType w:val="hybridMultilevel"/>
    <w:tmpl w:val="5FDCCE50"/>
    <w:lvl w:ilvl="0" w:tplc="204079D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54834E6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E050DA3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848800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DFFC70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EFF2AF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52447D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F66B6F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AC7A4FF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EE03803"/>
    <w:multiLevelType w:val="hybridMultilevel"/>
    <w:tmpl w:val="3D346E7C"/>
    <w:lvl w:ilvl="0" w:tplc="EDFC66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2"/>
  </w:num>
  <w:num w:numId="5">
    <w:abstractNumId w:val="2"/>
  </w:num>
  <w:num w:numId="6">
    <w:abstractNumId w:val="9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8"/>
  </w:num>
  <w:num w:numId="15">
    <w:abstractNumId w:val="4"/>
  </w:num>
  <w:num w:numId="16">
    <w:abstractNumId w:val="11"/>
  </w:num>
  <w:num w:numId="17">
    <w:abstractNumId w:val="7"/>
  </w:num>
  <w:num w:numId="18">
    <w:abstractNumId w:val="0"/>
  </w:num>
  <w:num w:numId="19">
    <w:abstractNumId w:val="1"/>
  </w:num>
  <w:num w:numId="20">
    <w:abstractNumId w:val="3"/>
  </w:num>
  <w:num w:numId="21">
    <w:abstractNumId w:val="5"/>
  </w:num>
  <w:num w:numId="22">
    <w:abstractNumId w:val="13"/>
  </w:num>
  <w:num w:numId="23">
    <w:abstractNumId w:val="1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0"/>
  </w:num>
  <w:num w:numId="39">
    <w:abstractNumId w:val="2"/>
  </w:num>
  <w:num w:numId="40">
    <w:abstractNumId w:val="2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0"/>
  </w:num>
  <w:num w:numId="44">
    <w:abstractNumId w:val="10"/>
  </w:num>
  <w:num w:numId="45">
    <w:abstractNumId w:val="2"/>
  </w:num>
  <w:num w:numId="46">
    <w:abstractNumId w:val="2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D1D"/>
    <w:rsid w:val="00000B52"/>
    <w:rsid w:val="000078E4"/>
    <w:rsid w:val="00014086"/>
    <w:rsid w:val="0001420B"/>
    <w:rsid w:val="00016342"/>
    <w:rsid w:val="00016967"/>
    <w:rsid w:val="00024BF2"/>
    <w:rsid w:val="0003043C"/>
    <w:rsid w:val="00031D9F"/>
    <w:rsid w:val="000329BE"/>
    <w:rsid w:val="000331F5"/>
    <w:rsid w:val="00036DAB"/>
    <w:rsid w:val="00045C1C"/>
    <w:rsid w:val="00051513"/>
    <w:rsid w:val="00054D7E"/>
    <w:rsid w:val="00057D78"/>
    <w:rsid w:val="00062784"/>
    <w:rsid w:val="00066998"/>
    <w:rsid w:val="00075D47"/>
    <w:rsid w:val="000776A9"/>
    <w:rsid w:val="00080CAC"/>
    <w:rsid w:val="00082887"/>
    <w:rsid w:val="00084721"/>
    <w:rsid w:val="00094943"/>
    <w:rsid w:val="00095984"/>
    <w:rsid w:val="00096C05"/>
    <w:rsid w:val="000977D5"/>
    <w:rsid w:val="000A03AF"/>
    <w:rsid w:val="000A0DAA"/>
    <w:rsid w:val="000A20F0"/>
    <w:rsid w:val="000B6FB0"/>
    <w:rsid w:val="000C06FA"/>
    <w:rsid w:val="000C1ADF"/>
    <w:rsid w:val="000C642A"/>
    <w:rsid w:val="000C6948"/>
    <w:rsid w:val="000C6C29"/>
    <w:rsid w:val="000E0B16"/>
    <w:rsid w:val="000E415A"/>
    <w:rsid w:val="000F0CC1"/>
    <w:rsid w:val="000F0CCD"/>
    <w:rsid w:val="000F47B3"/>
    <w:rsid w:val="000F4A0F"/>
    <w:rsid w:val="000F79C7"/>
    <w:rsid w:val="00103211"/>
    <w:rsid w:val="00104DF1"/>
    <w:rsid w:val="001067B8"/>
    <w:rsid w:val="00114801"/>
    <w:rsid w:val="00115F35"/>
    <w:rsid w:val="001204B1"/>
    <w:rsid w:val="001257C2"/>
    <w:rsid w:val="00132AC6"/>
    <w:rsid w:val="0013569B"/>
    <w:rsid w:val="00135AEA"/>
    <w:rsid w:val="0014062C"/>
    <w:rsid w:val="00143A8C"/>
    <w:rsid w:val="00144CF0"/>
    <w:rsid w:val="0014685E"/>
    <w:rsid w:val="001512D2"/>
    <w:rsid w:val="00151B05"/>
    <w:rsid w:val="001523EE"/>
    <w:rsid w:val="001529A8"/>
    <w:rsid w:val="00152F92"/>
    <w:rsid w:val="001558AB"/>
    <w:rsid w:val="00160B6F"/>
    <w:rsid w:val="00172C8E"/>
    <w:rsid w:val="00173377"/>
    <w:rsid w:val="00173B96"/>
    <w:rsid w:val="001840D6"/>
    <w:rsid w:val="00184E4B"/>
    <w:rsid w:val="00186FF7"/>
    <w:rsid w:val="00193658"/>
    <w:rsid w:val="001A09DC"/>
    <w:rsid w:val="001A7367"/>
    <w:rsid w:val="001A7494"/>
    <w:rsid w:val="001B5285"/>
    <w:rsid w:val="001C5B2C"/>
    <w:rsid w:val="001C6DB7"/>
    <w:rsid w:val="001D59B6"/>
    <w:rsid w:val="001D5B1E"/>
    <w:rsid w:val="001D7723"/>
    <w:rsid w:val="001E2686"/>
    <w:rsid w:val="001E7695"/>
    <w:rsid w:val="0020127F"/>
    <w:rsid w:val="00204E50"/>
    <w:rsid w:val="00211135"/>
    <w:rsid w:val="00211959"/>
    <w:rsid w:val="002219D0"/>
    <w:rsid w:val="00224B28"/>
    <w:rsid w:val="0023050F"/>
    <w:rsid w:val="00235B11"/>
    <w:rsid w:val="0023611F"/>
    <w:rsid w:val="002454FE"/>
    <w:rsid w:val="0024553B"/>
    <w:rsid w:val="00245610"/>
    <w:rsid w:val="00251901"/>
    <w:rsid w:val="002574CF"/>
    <w:rsid w:val="00260C09"/>
    <w:rsid w:val="00262831"/>
    <w:rsid w:val="0026482A"/>
    <w:rsid w:val="00265B42"/>
    <w:rsid w:val="00267CEC"/>
    <w:rsid w:val="002817A4"/>
    <w:rsid w:val="002823B8"/>
    <w:rsid w:val="00282F7B"/>
    <w:rsid w:val="002836DC"/>
    <w:rsid w:val="00285B22"/>
    <w:rsid w:val="00290FDB"/>
    <w:rsid w:val="00297B70"/>
    <w:rsid w:val="002A204D"/>
    <w:rsid w:val="002A6B85"/>
    <w:rsid w:val="002B0ACE"/>
    <w:rsid w:val="002C1128"/>
    <w:rsid w:val="002C33BE"/>
    <w:rsid w:val="002C389A"/>
    <w:rsid w:val="002D0E1A"/>
    <w:rsid w:val="002D1D9E"/>
    <w:rsid w:val="002E1E1F"/>
    <w:rsid w:val="002E6175"/>
    <w:rsid w:val="002E7BAE"/>
    <w:rsid w:val="002F196E"/>
    <w:rsid w:val="002F60F2"/>
    <w:rsid w:val="0030000C"/>
    <w:rsid w:val="00302DED"/>
    <w:rsid w:val="0031146D"/>
    <w:rsid w:val="0031173C"/>
    <w:rsid w:val="0031321A"/>
    <w:rsid w:val="00313EAA"/>
    <w:rsid w:val="00316E08"/>
    <w:rsid w:val="00333E35"/>
    <w:rsid w:val="00341D5B"/>
    <w:rsid w:val="00341EC5"/>
    <w:rsid w:val="003423FC"/>
    <w:rsid w:val="00343DC3"/>
    <w:rsid w:val="00351EF4"/>
    <w:rsid w:val="0035225B"/>
    <w:rsid w:val="00357E8E"/>
    <w:rsid w:val="00360F7D"/>
    <w:rsid w:val="003617DD"/>
    <w:rsid w:val="00362178"/>
    <w:rsid w:val="00373B2A"/>
    <w:rsid w:val="00375084"/>
    <w:rsid w:val="00376B39"/>
    <w:rsid w:val="00383CD3"/>
    <w:rsid w:val="003902CA"/>
    <w:rsid w:val="003906B5"/>
    <w:rsid w:val="00391B6E"/>
    <w:rsid w:val="00396A5F"/>
    <w:rsid w:val="00397242"/>
    <w:rsid w:val="003A3A58"/>
    <w:rsid w:val="003A4466"/>
    <w:rsid w:val="003A4BAB"/>
    <w:rsid w:val="003B052B"/>
    <w:rsid w:val="003B1156"/>
    <w:rsid w:val="003B13BD"/>
    <w:rsid w:val="003B7DCB"/>
    <w:rsid w:val="003C6995"/>
    <w:rsid w:val="003D0014"/>
    <w:rsid w:val="003D4CAF"/>
    <w:rsid w:val="003E7DA4"/>
    <w:rsid w:val="003F373A"/>
    <w:rsid w:val="003F3DF2"/>
    <w:rsid w:val="003F5834"/>
    <w:rsid w:val="004022CB"/>
    <w:rsid w:val="0040275E"/>
    <w:rsid w:val="00406A9E"/>
    <w:rsid w:val="00411AB9"/>
    <w:rsid w:val="00412D47"/>
    <w:rsid w:val="00424946"/>
    <w:rsid w:val="00430479"/>
    <w:rsid w:val="004326B6"/>
    <w:rsid w:val="00440AF4"/>
    <w:rsid w:val="00443D59"/>
    <w:rsid w:val="004443E4"/>
    <w:rsid w:val="00446D02"/>
    <w:rsid w:val="004569D9"/>
    <w:rsid w:val="00462BA8"/>
    <w:rsid w:val="004642A4"/>
    <w:rsid w:val="0046587F"/>
    <w:rsid w:val="00465980"/>
    <w:rsid w:val="0047132F"/>
    <w:rsid w:val="00472632"/>
    <w:rsid w:val="004733DB"/>
    <w:rsid w:val="0047597A"/>
    <w:rsid w:val="0048072F"/>
    <w:rsid w:val="00484411"/>
    <w:rsid w:val="00485D89"/>
    <w:rsid w:val="00486037"/>
    <w:rsid w:val="004879D7"/>
    <w:rsid w:val="00497DD6"/>
    <w:rsid w:val="004A0025"/>
    <w:rsid w:val="004A0ED5"/>
    <w:rsid w:val="004A188D"/>
    <w:rsid w:val="004A4766"/>
    <w:rsid w:val="004B3F4A"/>
    <w:rsid w:val="004B7725"/>
    <w:rsid w:val="004C752B"/>
    <w:rsid w:val="004D3FED"/>
    <w:rsid w:val="004E394C"/>
    <w:rsid w:val="004E4D4E"/>
    <w:rsid w:val="004E750C"/>
    <w:rsid w:val="004F0903"/>
    <w:rsid w:val="004F1BD1"/>
    <w:rsid w:val="004F418F"/>
    <w:rsid w:val="004F6599"/>
    <w:rsid w:val="00502FB1"/>
    <w:rsid w:val="00514122"/>
    <w:rsid w:val="005150C7"/>
    <w:rsid w:val="00515F22"/>
    <w:rsid w:val="00516C0C"/>
    <w:rsid w:val="00520B53"/>
    <w:rsid w:val="00522D1D"/>
    <w:rsid w:val="00526F8E"/>
    <w:rsid w:val="00530C66"/>
    <w:rsid w:val="00542B4A"/>
    <w:rsid w:val="00543AAC"/>
    <w:rsid w:val="005509FA"/>
    <w:rsid w:val="00552223"/>
    <w:rsid w:val="00555738"/>
    <w:rsid w:val="00564002"/>
    <w:rsid w:val="00570864"/>
    <w:rsid w:val="00587ADF"/>
    <w:rsid w:val="005936F7"/>
    <w:rsid w:val="00596582"/>
    <w:rsid w:val="005A198D"/>
    <w:rsid w:val="005A3A9B"/>
    <w:rsid w:val="005A49A4"/>
    <w:rsid w:val="005A5EF0"/>
    <w:rsid w:val="005A6478"/>
    <w:rsid w:val="005B1229"/>
    <w:rsid w:val="005B303B"/>
    <w:rsid w:val="005C3325"/>
    <w:rsid w:val="005C575D"/>
    <w:rsid w:val="005C6C1B"/>
    <w:rsid w:val="005D1A2D"/>
    <w:rsid w:val="005D3DE4"/>
    <w:rsid w:val="005D63AB"/>
    <w:rsid w:val="005E08F4"/>
    <w:rsid w:val="005F52B6"/>
    <w:rsid w:val="005F5BA8"/>
    <w:rsid w:val="005F5CD1"/>
    <w:rsid w:val="005F69DF"/>
    <w:rsid w:val="006027EF"/>
    <w:rsid w:val="00614537"/>
    <w:rsid w:val="00631455"/>
    <w:rsid w:val="00646558"/>
    <w:rsid w:val="00650240"/>
    <w:rsid w:val="006524C3"/>
    <w:rsid w:val="006530A2"/>
    <w:rsid w:val="00654AAF"/>
    <w:rsid w:val="006553E8"/>
    <w:rsid w:val="006619FA"/>
    <w:rsid w:val="006653FE"/>
    <w:rsid w:val="00666C07"/>
    <w:rsid w:val="00673A59"/>
    <w:rsid w:val="00674695"/>
    <w:rsid w:val="00675E06"/>
    <w:rsid w:val="006854EC"/>
    <w:rsid w:val="00687DAD"/>
    <w:rsid w:val="00695CA2"/>
    <w:rsid w:val="006B3653"/>
    <w:rsid w:val="006B3674"/>
    <w:rsid w:val="006B4DCA"/>
    <w:rsid w:val="006B785B"/>
    <w:rsid w:val="006C72B8"/>
    <w:rsid w:val="006D2C2A"/>
    <w:rsid w:val="006D6B62"/>
    <w:rsid w:val="006D6C3D"/>
    <w:rsid w:val="006F18C1"/>
    <w:rsid w:val="006F3726"/>
    <w:rsid w:val="00710C77"/>
    <w:rsid w:val="007150AB"/>
    <w:rsid w:val="007153CF"/>
    <w:rsid w:val="00744803"/>
    <w:rsid w:val="00751712"/>
    <w:rsid w:val="00762C74"/>
    <w:rsid w:val="00763871"/>
    <w:rsid w:val="007672B1"/>
    <w:rsid w:val="00773520"/>
    <w:rsid w:val="00773E10"/>
    <w:rsid w:val="00776969"/>
    <w:rsid w:val="00781671"/>
    <w:rsid w:val="00781B36"/>
    <w:rsid w:val="0078262C"/>
    <w:rsid w:val="00790420"/>
    <w:rsid w:val="00793B9B"/>
    <w:rsid w:val="007A487B"/>
    <w:rsid w:val="007B07E3"/>
    <w:rsid w:val="007B45EC"/>
    <w:rsid w:val="007D3128"/>
    <w:rsid w:val="007D7411"/>
    <w:rsid w:val="007E0084"/>
    <w:rsid w:val="007E464B"/>
    <w:rsid w:val="007F197E"/>
    <w:rsid w:val="007F2D17"/>
    <w:rsid w:val="008037E2"/>
    <w:rsid w:val="00804E40"/>
    <w:rsid w:val="0081667A"/>
    <w:rsid w:val="0081770A"/>
    <w:rsid w:val="00822115"/>
    <w:rsid w:val="00826529"/>
    <w:rsid w:val="00830AA1"/>
    <w:rsid w:val="00830D8A"/>
    <w:rsid w:val="00835BCE"/>
    <w:rsid w:val="00842581"/>
    <w:rsid w:val="008468D8"/>
    <w:rsid w:val="008508BD"/>
    <w:rsid w:val="00867A2B"/>
    <w:rsid w:val="008753A6"/>
    <w:rsid w:val="00876AC2"/>
    <w:rsid w:val="00877D31"/>
    <w:rsid w:val="00883023"/>
    <w:rsid w:val="00885538"/>
    <w:rsid w:val="00891928"/>
    <w:rsid w:val="00893A81"/>
    <w:rsid w:val="00894BC4"/>
    <w:rsid w:val="008A625E"/>
    <w:rsid w:val="008B2D2B"/>
    <w:rsid w:val="008B486C"/>
    <w:rsid w:val="008B48CA"/>
    <w:rsid w:val="008B5330"/>
    <w:rsid w:val="008B7FC3"/>
    <w:rsid w:val="008C049A"/>
    <w:rsid w:val="008C3264"/>
    <w:rsid w:val="008C32D6"/>
    <w:rsid w:val="008C7F6B"/>
    <w:rsid w:val="008D1842"/>
    <w:rsid w:val="008D2450"/>
    <w:rsid w:val="008E0AE9"/>
    <w:rsid w:val="008E383E"/>
    <w:rsid w:val="008F0AFC"/>
    <w:rsid w:val="008F416F"/>
    <w:rsid w:val="008F4213"/>
    <w:rsid w:val="009009A5"/>
    <w:rsid w:val="00901ED3"/>
    <w:rsid w:val="009036CE"/>
    <w:rsid w:val="009054B2"/>
    <w:rsid w:val="0091700D"/>
    <w:rsid w:val="009220BC"/>
    <w:rsid w:val="00924885"/>
    <w:rsid w:val="00932312"/>
    <w:rsid w:val="009402CB"/>
    <w:rsid w:val="009429BD"/>
    <w:rsid w:val="009438E4"/>
    <w:rsid w:val="009439AE"/>
    <w:rsid w:val="00945CBF"/>
    <w:rsid w:val="00947649"/>
    <w:rsid w:val="00954AD5"/>
    <w:rsid w:val="00955BEF"/>
    <w:rsid w:val="00957CFA"/>
    <w:rsid w:val="00960C9E"/>
    <w:rsid w:val="00963062"/>
    <w:rsid w:val="00970207"/>
    <w:rsid w:val="009719DC"/>
    <w:rsid w:val="00971B61"/>
    <w:rsid w:val="00972E94"/>
    <w:rsid w:val="00975C40"/>
    <w:rsid w:val="0097651D"/>
    <w:rsid w:val="009833D7"/>
    <w:rsid w:val="0099062B"/>
    <w:rsid w:val="009922D0"/>
    <w:rsid w:val="00994F01"/>
    <w:rsid w:val="009A33AA"/>
    <w:rsid w:val="009A71B0"/>
    <w:rsid w:val="009B0D27"/>
    <w:rsid w:val="009C1AFE"/>
    <w:rsid w:val="009C23F7"/>
    <w:rsid w:val="009C52C7"/>
    <w:rsid w:val="009C5FAC"/>
    <w:rsid w:val="009D07E6"/>
    <w:rsid w:val="009D2577"/>
    <w:rsid w:val="009D269C"/>
    <w:rsid w:val="009D474D"/>
    <w:rsid w:val="009D7A67"/>
    <w:rsid w:val="009D7D55"/>
    <w:rsid w:val="009E508C"/>
    <w:rsid w:val="009E5A47"/>
    <w:rsid w:val="009E779E"/>
    <w:rsid w:val="009F4DC4"/>
    <w:rsid w:val="00A00AC8"/>
    <w:rsid w:val="00A016F2"/>
    <w:rsid w:val="00A0184B"/>
    <w:rsid w:val="00A1355C"/>
    <w:rsid w:val="00A13A4B"/>
    <w:rsid w:val="00A14535"/>
    <w:rsid w:val="00A3095D"/>
    <w:rsid w:val="00A33C37"/>
    <w:rsid w:val="00A35F56"/>
    <w:rsid w:val="00A37E71"/>
    <w:rsid w:val="00A41DFA"/>
    <w:rsid w:val="00A52F31"/>
    <w:rsid w:val="00A55293"/>
    <w:rsid w:val="00A6021B"/>
    <w:rsid w:val="00A60AFA"/>
    <w:rsid w:val="00A61CC8"/>
    <w:rsid w:val="00A704FE"/>
    <w:rsid w:val="00A7217E"/>
    <w:rsid w:val="00A758CA"/>
    <w:rsid w:val="00A8388C"/>
    <w:rsid w:val="00A84F2D"/>
    <w:rsid w:val="00A85934"/>
    <w:rsid w:val="00A90D59"/>
    <w:rsid w:val="00A91484"/>
    <w:rsid w:val="00A95368"/>
    <w:rsid w:val="00AA1CB6"/>
    <w:rsid w:val="00AA39A5"/>
    <w:rsid w:val="00AA3BE9"/>
    <w:rsid w:val="00AB0E17"/>
    <w:rsid w:val="00AC25CF"/>
    <w:rsid w:val="00AC46C4"/>
    <w:rsid w:val="00AC50C7"/>
    <w:rsid w:val="00AD5915"/>
    <w:rsid w:val="00AE1B05"/>
    <w:rsid w:val="00AE52BA"/>
    <w:rsid w:val="00AF314D"/>
    <w:rsid w:val="00AF502A"/>
    <w:rsid w:val="00AF5ADE"/>
    <w:rsid w:val="00B042C6"/>
    <w:rsid w:val="00B07D04"/>
    <w:rsid w:val="00B1223F"/>
    <w:rsid w:val="00B13C4D"/>
    <w:rsid w:val="00B23E38"/>
    <w:rsid w:val="00B331D3"/>
    <w:rsid w:val="00B349A3"/>
    <w:rsid w:val="00B3732C"/>
    <w:rsid w:val="00B472CE"/>
    <w:rsid w:val="00B5083F"/>
    <w:rsid w:val="00B50AF2"/>
    <w:rsid w:val="00B54B4D"/>
    <w:rsid w:val="00B61B3C"/>
    <w:rsid w:val="00B71551"/>
    <w:rsid w:val="00B72B0A"/>
    <w:rsid w:val="00B84BB3"/>
    <w:rsid w:val="00B930A4"/>
    <w:rsid w:val="00B94288"/>
    <w:rsid w:val="00B95523"/>
    <w:rsid w:val="00B9799F"/>
    <w:rsid w:val="00BB5E79"/>
    <w:rsid w:val="00BC2BC0"/>
    <w:rsid w:val="00BC4362"/>
    <w:rsid w:val="00BC534B"/>
    <w:rsid w:val="00BC6BE7"/>
    <w:rsid w:val="00BD14F5"/>
    <w:rsid w:val="00BD384D"/>
    <w:rsid w:val="00BD46CB"/>
    <w:rsid w:val="00BE05BC"/>
    <w:rsid w:val="00BE0D95"/>
    <w:rsid w:val="00BE38DB"/>
    <w:rsid w:val="00BF4732"/>
    <w:rsid w:val="00BF657E"/>
    <w:rsid w:val="00BF7B40"/>
    <w:rsid w:val="00C01528"/>
    <w:rsid w:val="00C03B8F"/>
    <w:rsid w:val="00C03D74"/>
    <w:rsid w:val="00C0532E"/>
    <w:rsid w:val="00C10AA8"/>
    <w:rsid w:val="00C13BDA"/>
    <w:rsid w:val="00C1409A"/>
    <w:rsid w:val="00C14461"/>
    <w:rsid w:val="00C21442"/>
    <w:rsid w:val="00C218C9"/>
    <w:rsid w:val="00C25CD1"/>
    <w:rsid w:val="00C31B2A"/>
    <w:rsid w:val="00C3455B"/>
    <w:rsid w:val="00C362C8"/>
    <w:rsid w:val="00C36976"/>
    <w:rsid w:val="00C3756C"/>
    <w:rsid w:val="00C41F68"/>
    <w:rsid w:val="00C468D6"/>
    <w:rsid w:val="00C47B95"/>
    <w:rsid w:val="00C511CC"/>
    <w:rsid w:val="00C519C9"/>
    <w:rsid w:val="00C5606A"/>
    <w:rsid w:val="00C61690"/>
    <w:rsid w:val="00C62920"/>
    <w:rsid w:val="00C6633B"/>
    <w:rsid w:val="00C6676A"/>
    <w:rsid w:val="00C70876"/>
    <w:rsid w:val="00C73887"/>
    <w:rsid w:val="00C844D8"/>
    <w:rsid w:val="00C87138"/>
    <w:rsid w:val="00CA133C"/>
    <w:rsid w:val="00CA2374"/>
    <w:rsid w:val="00CA2E7E"/>
    <w:rsid w:val="00CB5DBE"/>
    <w:rsid w:val="00CB77E9"/>
    <w:rsid w:val="00CC31AB"/>
    <w:rsid w:val="00CD2ABA"/>
    <w:rsid w:val="00CD2E27"/>
    <w:rsid w:val="00CE41B8"/>
    <w:rsid w:val="00CF23E3"/>
    <w:rsid w:val="00CF62CC"/>
    <w:rsid w:val="00D01677"/>
    <w:rsid w:val="00D153CC"/>
    <w:rsid w:val="00D15E0D"/>
    <w:rsid w:val="00D20A1B"/>
    <w:rsid w:val="00D23925"/>
    <w:rsid w:val="00D279CC"/>
    <w:rsid w:val="00D34183"/>
    <w:rsid w:val="00D37018"/>
    <w:rsid w:val="00D37C32"/>
    <w:rsid w:val="00D50354"/>
    <w:rsid w:val="00D6544F"/>
    <w:rsid w:val="00D66693"/>
    <w:rsid w:val="00D70471"/>
    <w:rsid w:val="00D709CE"/>
    <w:rsid w:val="00D70B1E"/>
    <w:rsid w:val="00D75B40"/>
    <w:rsid w:val="00D8103F"/>
    <w:rsid w:val="00D84F92"/>
    <w:rsid w:val="00D94D9E"/>
    <w:rsid w:val="00D96EAF"/>
    <w:rsid w:val="00D9732D"/>
    <w:rsid w:val="00DA4185"/>
    <w:rsid w:val="00DA4B3B"/>
    <w:rsid w:val="00DA5CC2"/>
    <w:rsid w:val="00DA737E"/>
    <w:rsid w:val="00DB223B"/>
    <w:rsid w:val="00DC2156"/>
    <w:rsid w:val="00DC7A74"/>
    <w:rsid w:val="00DD1591"/>
    <w:rsid w:val="00DD396C"/>
    <w:rsid w:val="00DE1CD2"/>
    <w:rsid w:val="00DE2D8A"/>
    <w:rsid w:val="00DE695A"/>
    <w:rsid w:val="00DF7590"/>
    <w:rsid w:val="00E002F5"/>
    <w:rsid w:val="00E01936"/>
    <w:rsid w:val="00E031B3"/>
    <w:rsid w:val="00E040EE"/>
    <w:rsid w:val="00E11BDB"/>
    <w:rsid w:val="00E11E01"/>
    <w:rsid w:val="00E20F9E"/>
    <w:rsid w:val="00E23DF2"/>
    <w:rsid w:val="00E2510B"/>
    <w:rsid w:val="00E30F42"/>
    <w:rsid w:val="00E31BBF"/>
    <w:rsid w:val="00E37D4B"/>
    <w:rsid w:val="00E415BD"/>
    <w:rsid w:val="00E46DDE"/>
    <w:rsid w:val="00E470B2"/>
    <w:rsid w:val="00E60122"/>
    <w:rsid w:val="00E60843"/>
    <w:rsid w:val="00E627A1"/>
    <w:rsid w:val="00E63B95"/>
    <w:rsid w:val="00E77B92"/>
    <w:rsid w:val="00E90EE1"/>
    <w:rsid w:val="00E90F10"/>
    <w:rsid w:val="00EA740D"/>
    <w:rsid w:val="00EB3A89"/>
    <w:rsid w:val="00EB3A90"/>
    <w:rsid w:val="00EC1102"/>
    <w:rsid w:val="00EC22C0"/>
    <w:rsid w:val="00EC3291"/>
    <w:rsid w:val="00ED52C8"/>
    <w:rsid w:val="00EE0F16"/>
    <w:rsid w:val="00EE4757"/>
    <w:rsid w:val="00EF1BF9"/>
    <w:rsid w:val="00EF3727"/>
    <w:rsid w:val="00EF50EC"/>
    <w:rsid w:val="00F03AA5"/>
    <w:rsid w:val="00F11F1D"/>
    <w:rsid w:val="00F12146"/>
    <w:rsid w:val="00F1285F"/>
    <w:rsid w:val="00F150CC"/>
    <w:rsid w:val="00F16350"/>
    <w:rsid w:val="00F16559"/>
    <w:rsid w:val="00F202D6"/>
    <w:rsid w:val="00F2224A"/>
    <w:rsid w:val="00F320D6"/>
    <w:rsid w:val="00F36D2C"/>
    <w:rsid w:val="00F37084"/>
    <w:rsid w:val="00F439BF"/>
    <w:rsid w:val="00F466BB"/>
    <w:rsid w:val="00F4675A"/>
    <w:rsid w:val="00F4719A"/>
    <w:rsid w:val="00F70146"/>
    <w:rsid w:val="00F74B89"/>
    <w:rsid w:val="00F77871"/>
    <w:rsid w:val="00F81036"/>
    <w:rsid w:val="00F8494A"/>
    <w:rsid w:val="00F92474"/>
    <w:rsid w:val="00F93F2D"/>
    <w:rsid w:val="00F95046"/>
    <w:rsid w:val="00F960E2"/>
    <w:rsid w:val="00FB4504"/>
    <w:rsid w:val="00FB47C6"/>
    <w:rsid w:val="00FB7A95"/>
    <w:rsid w:val="00FC77AF"/>
    <w:rsid w:val="00FD0DDD"/>
    <w:rsid w:val="00FD3840"/>
    <w:rsid w:val="00FE2042"/>
    <w:rsid w:val="00FE403C"/>
    <w:rsid w:val="00FE7363"/>
    <w:rsid w:val="00FF0280"/>
    <w:rsid w:val="00FF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/>
    <w:lsdException w:name="heading 2" w:semiHidden="0" w:uiPriority="9" w:qFormat="1"/>
    <w:lsdException w:name="heading 3" w:semiHidden="0" w:uiPriority="9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header" w:unhideWhenUsed="1"/>
    <w:lsdException w:name="footer" w:uiPriority="0" w:unhideWhenUsed="1"/>
    <w:lsdException w:name="caption" w:uiPriority="35" w:qFormat="1"/>
    <w:lsdException w:name="footnote reference" w:unhideWhenUsed="1"/>
    <w:lsdException w:name="page number" w:unhideWhenUsed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7D4B"/>
    <w:rPr>
      <w:sz w:val="24"/>
      <w:szCs w:val="24"/>
    </w:rPr>
  </w:style>
  <w:style w:type="paragraph" w:styleId="Cmsor1">
    <w:name w:val="heading 1"/>
    <w:basedOn w:val="Norml"/>
    <w:next w:val="Norml"/>
    <w:semiHidden/>
    <w:rsid w:val="00CB77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semiHidden/>
    <w:qFormat/>
    <w:rsid w:val="00CB77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semiHidden/>
    <w:qFormat/>
    <w:rsid w:val="00CB77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Sorszám"/>
    <w:basedOn w:val="Norml"/>
    <w:link w:val="lfejChar"/>
    <w:uiPriority w:val="99"/>
    <w:rsid w:val="00B61B3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semiHidden/>
    <w:rsid w:val="00B61B3C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B61B3C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B61B3C"/>
    <w:rPr>
      <w:vertAlign w:val="superscript"/>
    </w:rPr>
  </w:style>
  <w:style w:type="character" w:styleId="Oldalszm">
    <w:name w:val="page number"/>
    <w:basedOn w:val="Bekezdsalapbettpusa"/>
    <w:semiHidden/>
    <w:unhideWhenUsed/>
    <w:rsid w:val="00B61B3C"/>
  </w:style>
  <w:style w:type="table" w:styleId="Rcsostblzat">
    <w:name w:val="Table Grid"/>
    <w:basedOn w:val="Normltblzat"/>
    <w:semiHidden/>
    <w:rsid w:val="00B61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semiHidden/>
    <w:rsid w:val="00B61B3C"/>
    <w:rPr>
      <w:color w:val="0000FF"/>
      <w:u w:val="single"/>
    </w:rPr>
  </w:style>
  <w:style w:type="paragraph" w:customStyle="1" w:styleId="Alcmjsz">
    <w:name w:val="Alcímjsz"/>
    <w:basedOn w:val="Norml"/>
    <w:next w:val="Paragrafus"/>
    <w:qFormat/>
    <w:rsid w:val="00245610"/>
    <w:pPr>
      <w:keepNext/>
      <w:keepLines/>
      <w:widowControl w:val="0"/>
      <w:numPr>
        <w:numId w:val="3"/>
      </w:numPr>
      <w:tabs>
        <w:tab w:val="left" w:pos="540"/>
        <w:tab w:val="left" w:pos="567"/>
      </w:tabs>
      <w:adjustRightInd w:val="0"/>
      <w:spacing w:before="400"/>
      <w:jc w:val="center"/>
      <w:textAlignment w:val="baseline"/>
    </w:pPr>
    <w:rPr>
      <w:i/>
      <w:szCs w:val="20"/>
    </w:rPr>
  </w:style>
  <w:style w:type="paragraph" w:customStyle="1" w:styleId="Alpont">
    <w:name w:val="Alpont"/>
    <w:basedOn w:val="Norml"/>
    <w:qFormat/>
    <w:rsid w:val="00781671"/>
    <w:pPr>
      <w:numPr>
        <w:ilvl w:val="3"/>
        <w:numId w:val="1"/>
      </w:numPr>
      <w:tabs>
        <w:tab w:val="left" w:pos="540"/>
        <w:tab w:val="left" w:pos="567"/>
        <w:tab w:val="left" w:pos="4500"/>
      </w:tabs>
      <w:jc w:val="both"/>
    </w:pPr>
  </w:style>
  <w:style w:type="paragraph" w:customStyle="1" w:styleId="Alpont2">
    <w:name w:val="Alpont2"/>
    <w:basedOn w:val="Alpont"/>
    <w:qFormat/>
    <w:rsid w:val="00781671"/>
    <w:pPr>
      <w:numPr>
        <w:ilvl w:val="0"/>
        <w:numId w:val="0"/>
      </w:numPr>
      <w:ind w:firstLine="851"/>
    </w:pPr>
    <w:rPr>
      <w:lang w:eastAsia="en-US"/>
    </w:rPr>
  </w:style>
  <w:style w:type="paragraph" w:customStyle="1" w:styleId="Bek2">
    <w:name w:val="Bek2"/>
    <w:basedOn w:val="Norml"/>
    <w:link w:val="Bek2Char"/>
    <w:qFormat/>
    <w:rsid w:val="00245610"/>
    <w:pPr>
      <w:tabs>
        <w:tab w:val="left" w:pos="540"/>
        <w:tab w:val="left" w:pos="567"/>
      </w:tabs>
      <w:spacing w:before="280"/>
      <w:ind w:firstLine="567"/>
      <w:jc w:val="both"/>
    </w:pPr>
  </w:style>
  <w:style w:type="paragraph" w:customStyle="1" w:styleId="Bekezds">
    <w:name w:val="Bekezdés"/>
    <w:basedOn w:val="Norml"/>
    <w:qFormat/>
    <w:rsid w:val="0081667A"/>
    <w:pPr>
      <w:numPr>
        <w:ilvl w:val="1"/>
        <w:numId w:val="1"/>
      </w:numPr>
      <w:tabs>
        <w:tab w:val="left" w:pos="540"/>
        <w:tab w:val="left" w:pos="567"/>
      </w:tabs>
      <w:spacing w:before="280"/>
      <w:jc w:val="both"/>
    </w:pPr>
  </w:style>
  <w:style w:type="paragraph" w:customStyle="1" w:styleId="Dltlezr">
    <w:name w:val="Dőlt lezáró"/>
    <w:basedOn w:val="Norml"/>
    <w:next w:val="Bekezds"/>
    <w:qFormat/>
    <w:rsid w:val="00A14535"/>
    <w:pPr>
      <w:widowControl w:val="0"/>
      <w:tabs>
        <w:tab w:val="left" w:pos="540"/>
        <w:tab w:val="left" w:pos="567"/>
      </w:tabs>
      <w:adjustRightInd w:val="0"/>
      <w:spacing w:before="400" w:line="360" w:lineRule="atLeast"/>
      <w:jc w:val="both"/>
      <w:textAlignment w:val="baseline"/>
    </w:pPr>
    <w:rPr>
      <w:i/>
      <w:iCs/>
      <w:sz w:val="28"/>
      <w:szCs w:val="20"/>
    </w:rPr>
  </w:style>
  <w:style w:type="paragraph" w:customStyle="1" w:styleId="Felvezet">
    <w:name w:val="Felvezető"/>
    <w:basedOn w:val="Bek2"/>
    <w:next w:val="Bek2"/>
    <w:qFormat/>
    <w:rsid w:val="00A14535"/>
    <w:rPr>
      <w:i/>
    </w:rPr>
  </w:style>
  <w:style w:type="paragraph" w:customStyle="1" w:styleId="Lezr">
    <w:name w:val="Lezáró"/>
    <w:basedOn w:val="Bek2"/>
    <w:next w:val="Bek2"/>
    <w:autoRedefine/>
    <w:uiPriority w:val="99"/>
    <w:qFormat/>
    <w:rsid w:val="002F60F2"/>
    <w:pPr>
      <w:spacing w:before="0"/>
      <w:ind w:firstLine="0"/>
    </w:pPr>
    <w:rPr>
      <w:lang w:eastAsia="en-US"/>
    </w:rPr>
  </w:style>
  <w:style w:type="paragraph" w:customStyle="1" w:styleId="Paragrafus">
    <w:name w:val="Paragrafus"/>
    <w:basedOn w:val="Norml"/>
    <w:next w:val="Bek2"/>
    <w:qFormat/>
    <w:rsid w:val="007A487B"/>
    <w:pPr>
      <w:keepNext/>
      <w:numPr>
        <w:numId w:val="1"/>
      </w:numPr>
      <w:tabs>
        <w:tab w:val="center" w:pos="57"/>
        <w:tab w:val="center" w:pos="198"/>
      </w:tabs>
      <w:spacing w:before="320"/>
      <w:jc w:val="center"/>
    </w:pPr>
    <w:rPr>
      <w:b/>
      <w:bCs/>
    </w:rPr>
  </w:style>
  <w:style w:type="paragraph" w:customStyle="1" w:styleId="Pont">
    <w:name w:val="Pont"/>
    <w:basedOn w:val="Bekezds"/>
    <w:qFormat/>
    <w:rsid w:val="00B930A4"/>
    <w:pPr>
      <w:numPr>
        <w:ilvl w:val="2"/>
      </w:numPr>
      <w:spacing w:before="0"/>
    </w:pPr>
    <w:rPr>
      <w:szCs w:val="28"/>
    </w:rPr>
  </w:style>
  <w:style w:type="paragraph" w:customStyle="1" w:styleId="Pont2">
    <w:name w:val="Pont2"/>
    <w:basedOn w:val="Pont"/>
    <w:qFormat/>
    <w:rsid w:val="00A14535"/>
    <w:pPr>
      <w:numPr>
        <w:ilvl w:val="0"/>
        <w:numId w:val="0"/>
      </w:numPr>
      <w:ind w:firstLine="567"/>
    </w:pPr>
  </w:style>
  <w:style w:type="paragraph" w:styleId="Buborkszveg">
    <w:name w:val="Balloon Text"/>
    <w:basedOn w:val="Norml"/>
    <w:semiHidden/>
    <w:rsid w:val="00932312"/>
    <w:rPr>
      <w:rFonts w:ascii="Tahoma" w:hAnsi="Tahoma" w:cs="Tahoma"/>
      <w:sz w:val="16"/>
      <w:szCs w:val="16"/>
    </w:rPr>
  </w:style>
  <w:style w:type="character" w:customStyle="1" w:styleId="epbold1">
    <w:name w:val="ep_bold1"/>
    <w:basedOn w:val="Bekezdsalapbettpusa"/>
    <w:semiHidden/>
    <w:unhideWhenUsed/>
    <w:rsid w:val="004569D9"/>
    <w:rPr>
      <w:b/>
      <w:bCs/>
    </w:rPr>
  </w:style>
  <w:style w:type="paragraph" w:styleId="Listaszerbekezds">
    <w:name w:val="List Paragraph"/>
    <w:basedOn w:val="Norml"/>
    <w:uiPriority w:val="34"/>
    <w:semiHidden/>
    <w:qFormat/>
    <w:rsid w:val="00412D47"/>
    <w:pPr>
      <w:ind w:left="708"/>
    </w:pPr>
  </w:style>
  <w:style w:type="paragraph" w:customStyle="1" w:styleId="Alpont3">
    <w:name w:val="Alpont3"/>
    <w:basedOn w:val="Alpont2"/>
    <w:next w:val="Bek2"/>
    <w:qFormat/>
    <w:rsid w:val="007153CF"/>
    <w:pPr>
      <w:spacing w:before="280"/>
    </w:pPr>
  </w:style>
  <w:style w:type="paragraph" w:styleId="NormlWeb">
    <w:name w:val="Normal (Web)"/>
    <w:basedOn w:val="Norml"/>
    <w:semiHidden/>
    <w:rsid w:val="00B71551"/>
    <w:pPr>
      <w:spacing w:before="100" w:beforeAutospacing="1" w:after="100" w:afterAutospacing="1"/>
    </w:pPr>
    <w:rPr>
      <w:color w:val="000000"/>
      <w:lang w:bidi="bn-IN"/>
    </w:rPr>
  </w:style>
  <w:style w:type="numbering" w:customStyle="1" w:styleId="Alcmjsz3">
    <w:name w:val="Alcímjsz3"/>
    <w:uiPriority w:val="99"/>
    <w:rsid w:val="00245610"/>
    <w:pPr>
      <w:numPr>
        <w:numId w:val="2"/>
      </w:numPr>
    </w:pPr>
  </w:style>
  <w:style w:type="paragraph" w:customStyle="1" w:styleId="Alcmjsz2">
    <w:name w:val="Alcímjsz2"/>
    <w:basedOn w:val="Alcmjsz"/>
    <w:next w:val="Bek2"/>
    <w:qFormat/>
    <w:rsid w:val="00245610"/>
    <w:pPr>
      <w:numPr>
        <w:numId w:val="0"/>
      </w:numPr>
    </w:pPr>
    <w:rPr>
      <w:lang w:eastAsia="en-US"/>
    </w:rPr>
  </w:style>
  <w:style w:type="character" w:customStyle="1" w:styleId="Bek2Char">
    <w:name w:val="Bek2 Char"/>
    <w:basedOn w:val="Bekezdsalapbettpusa"/>
    <w:link w:val="Bek2"/>
    <w:rsid w:val="00FE2042"/>
    <w:rPr>
      <w:sz w:val="24"/>
      <w:szCs w:val="24"/>
    </w:rPr>
  </w:style>
  <w:style w:type="character" w:customStyle="1" w:styleId="llbChar">
    <w:name w:val="Élőláb Char"/>
    <w:basedOn w:val="Bekezdsalapbettpusa"/>
    <w:link w:val="llb"/>
    <w:semiHidden/>
    <w:rsid w:val="00695CA2"/>
    <w:rPr>
      <w:sz w:val="24"/>
      <w:szCs w:val="24"/>
    </w:rPr>
  </w:style>
  <w:style w:type="paragraph" w:customStyle="1" w:styleId="1cm-rebehzott">
    <w:name w:val="1 cm-re behúzott"/>
    <w:basedOn w:val="Norml"/>
    <w:link w:val="1cm-rebehzottChar"/>
    <w:semiHidden/>
    <w:rsid w:val="00B331D3"/>
    <w:pPr>
      <w:ind w:firstLine="567"/>
      <w:jc w:val="both"/>
    </w:pPr>
    <w:rPr>
      <w:szCs w:val="28"/>
      <w:lang w:eastAsia="en-US"/>
    </w:rPr>
  </w:style>
  <w:style w:type="character" w:customStyle="1" w:styleId="1cm-rebehzottChar">
    <w:name w:val="1 cm-re behúzott Char"/>
    <w:basedOn w:val="Bekezdsalapbettpusa"/>
    <w:link w:val="1cm-rebehzott"/>
    <w:semiHidden/>
    <w:rsid w:val="00B331D3"/>
    <w:rPr>
      <w:sz w:val="24"/>
      <w:szCs w:val="28"/>
      <w:lang w:eastAsia="en-US"/>
    </w:rPr>
  </w:style>
  <w:style w:type="paragraph" w:customStyle="1" w:styleId="Listaszerbekezds3">
    <w:name w:val="Listaszerű bekezdés3"/>
    <w:basedOn w:val="Norml"/>
    <w:semiHidden/>
    <w:rsid w:val="00EB3A89"/>
    <w:pPr>
      <w:ind w:left="720"/>
    </w:pPr>
    <w:rPr>
      <w:rFonts w:ascii="Calibri" w:eastAsia="Calibri" w:hAnsi="Calibri" w:cs="Calibri"/>
      <w:sz w:val="22"/>
      <w:szCs w:val="22"/>
    </w:rPr>
  </w:style>
  <w:style w:type="character" w:styleId="Mrltotthiperhivatkozs">
    <w:name w:val="FollowedHyperlink"/>
    <w:basedOn w:val="Bekezdsalapbettpusa"/>
    <w:uiPriority w:val="99"/>
    <w:semiHidden/>
    <w:rsid w:val="00AF502A"/>
    <w:rPr>
      <w:color w:val="800080"/>
      <w:u w:val="single"/>
    </w:rPr>
  </w:style>
  <w:style w:type="character" w:customStyle="1" w:styleId="lfejChar">
    <w:name w:val="Élőfej Char"/>
    <w:aliases w:val="Sorszám Char"/>
    <w:basedOn w:val="Bekezdsalapbettpusa"/>
    <w:link w:val="lfej"/>
    <w:uiPriority w:val="99"/>
    <w:rsid w:val="00CE41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1C52-450B-4D92-A40D-4BC5159E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2008</Words>
  <Characters>13863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ONYF</Company>
  <LinksUpToDate>false</LinksUpToDate>
  <CharactersWithSpaces>15840</CharactersWithSpaces>
  <SharedDoc>false</SharedDoc>
  <HLinks>
    <vt:vector size="12" baseType="variant">
      <vt:variant>
        <vt:i4>6684753</vt:i4>
      </vt:variant>
      <vt:variant>
        <vt:i4>6</vt:i4>
      </vt:variant>
      <vt:variant>
        <vt:i4>0</vt:i4>
      </vt:variant>
      <vt:variant>
        <vt:i4>5</vt:i4>
      </vt:variant>
      <vt:variant>
        <vt:lpwstr>mailto:zsuzsanna.hulak@nefmi.gov.hu</vt:lpwstr>
      </vt:variant>
      <vt:variant>
        <vt:lpwstr/>
      </vt:variant>
      <vt:variant>
        <vt:i4>2097177</vt:i4>
      </vt:variant>
      <vt:variant>
        <vt:i4>3</vt:i4>
      </vt:variant>
      <vt:variant>
        <vt:i4>0</vt:i4>
      </vt:variant>
      <vt:variant>
        <vt:i4>5</vt:i4>
      </vt:variant>
      <vt:variant>
        <vt:lpwstr>mailto:laszlone.saradi@nefmi.gov.hu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Molnár Ágnes</dc:creator>
  <cp:keywords/>
  <dc:description/>
  <cp:lastModifiedBy>naggeo</cp:lastModifiedBy>
  <cp:revision>6</cp:revision>
  <cp:lastPrinted>2012-03-06T12:47:00Z</cp:lastPrinted>
  <dcterms:created xsi:type="dcterms:W3CDTF">2012-03-12T13:55:00Z</dcterms:created>
  <dcterms:modified xsi:type="dcterms:W3CDTF">2012-03-12T16:08:00Z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901619898</vt:i4>
  </property>
  <property fmtid="{D5CDD505-2E9C-101B-9397-08002B2CF9AE}" pid="3" name="_EmailSubject">
    <vt:lpwstr/>
  </property>
  <property fmtid="{D5CDD505-2E9C-101B-9397-08002B2CF9AE}" pid="4" name="_AuthorEmail">
    <vt:lpwstr>panczel.aron@freemail.hu</vt:lpwstr>
  </property>
  <property fmtid="{D5CDD505-2E9C-101B-9397-08002B2CF9AE}" pid="5" name="_AuthorEmailDisplayName">
    <vt:lpwstr>Pánczél Áron</vt:lpwstr>
  </property>
  <property fmtid="{D5CDD505-2E9C-101B-9397-08002B2CF9AE}" pid="6" name="_ReviewingToolsShownOnce">
    <vt:lpwstr/>
  </property>
</Properties>
</file>